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FF" w:rsidRPr="00464C74" w:rsidRDefault="006700FF" w:rsidP="006700FF">
      <w:pPr>
        <w:shd w:val="clear" w:color="auto" w:fill="FFFFFF"/>
        <w:spacing w:before="120" w:after="0" w:line="300" w:lineRule="atLeast"/>
        <w:jc w:val="center"/>
        <w:outlineLvl w:val="1"/>
        <w:rPr>
          <w:rFonts w:ascii="Times New Roman" w:eastAsia="Times New Roman" w:hAnsi="Times New Roman" w:cs="Times New Roman"/>
          <w:b/>
          <w:bCs/>
          <w:sz w:val="36"/>
          <w:szCs w:val="36"/>
        </w:rPr>
      </w:pPr>
      <w:r w:rsidRPr="00464C74">
        <w:rPr>
          <w:rFonts w:ascii="Times New Roman" w:eastAsia="Times New Roman" w:hAnsi="Times New Roman" w:cs="Times New Roman"/>
          <w:b/>
          <w:bCs/>
          <w:sz w:val="36"/>
          <w:szCs w:val="36"/>
        </w:rPr>
        <w:t>Hoàn thiện chính sách quản lý thuế theo hướng bao quát các nguồn thu</w:t>
      </w:r>
    </w:p>
    <w:p w:rsidR="006700FF" w:rsidRDefault="006700FF" w:rsidP="006700FF">
      <w:pPr>
        <w:spacing w:before="120" w:after="0" w:line="300" w:lineRule="atLeast"/>
        <w:jc w:val="both"/>
        <w:rPr>
          <w:rFonts w:ascii="Times New Roman" w:eastAsia="Times New Roman" w:hAnsi="Times New Roman" w:cs="Times New Roman"/>
          <w:color w:val="000000"/>
          <w:sz w:val="27"/>
          <w:szCs w:val="27"/>
        </w:rPr>
      </w:pPr>
    </w:p>
    <w:p w:rsidR="006700FF" w:rsidRPr="00464C74" w:rsidRDefault="006700FF" w:rsidP="006700FF">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Bộ Tài chính vừa ban hành Quyết định 276/QĐ-BTC phê duyệt đề án mở rộng cơ sở thuế và chống xói mòn nguồn thu NSNN giai đoạn 2020-2025. </w:t>
      </w:r>
    </w:p>
    <w:p w:rsidR="006700FF" w:rsidRPr="00464C74" w:rsidRDefault="006700FF" w:rsidP="006700FF">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Đề án đặt ra mục tiêu là hoàn thiện chính sách và quản lý thu theo hướng bao quát các nguồn thu trên nguyên tắc đảm bảo công bằng xã hội, tính cạnh tranh của nền kinh tế; mở rộng cơ sở thuế trên cơ sở mở rộng phạm vi đánh thuế, theo hướng thu hút ngày càng nhiều đối tượng vào diện chịu thuế, hoặc nâng giá trị tính thuế. Theo đó, đề án đưa ra 5 nhóm giải pháp chủ yếu. </w:t>
      </w:r>
    </w:p>
    <w:p w:rsidR="006700FF" w:rsidRPr="00464C74" w:rsidRDefault="006700FF" w:rsidP="006700FF">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Cụ thể, đối với quản lý thuế, tiếp tục hoàn thiện thể chế, nhằm đơn giản hóa thủ tục hành chính với mục tiêu Việt Nam tiếp tục là một trong bốn nước đứng đầu khu vực Đông Nam Á trong xếp hạng mức độ thuận lợi về thuế. Tăng cường hỗ trợ người nộp thuế theo hướng đáp ứng nhu cầu của từng nhóm người nộp thuế. Trong đó, nghiên cứu, thiết lập trung tâm tập trung giải đáp vướng mắc cho người nộp thuế trên nền tảng hệ thống dữ liệu chung của hệ thống cơ quan thuế. Song hành với việc kiện toàn tổ chức bộ máy cơ quan thuế các cấp, Tổng cục Thuế tiếp tục đổi mới trong các khâu đăng ký, khai, nộp, hoàn thuế và kế toán thuế; cải cách công tác quản lý nợ, cưỡng chế nợ thuế và thanh kiểm tra, giám sát tuân thủ theo hướng ứng dụng hiệu quả công nghệ thông tin. Cùng với đó, ban hành quy định áp dụng hóa đơn điện tử đối với DN, hộ kinh doanh. Đồng thời, sớm vận hành hệ thống hạ tầng kỹ thuật, kết nối đồng bộ giữa cơ quan thuế và người nộp thuế, đảm bảo yêu cầu quản lý điện tử. </w:t>
      </w:r>
    </w:p>
    <w:p w:rsidR="006700FF" w:rsidRPr="00464C74" w:rsidRDefault="006700FF" w:rsidP="006700FF">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Theo đề án, để chống xói mòn cơ sở tính thuế, chuyển lợi nhuận, ngăn ngừa trốn, tránh thuế, cơ quan thuế sẽ xây dựng nền tảng pháp lý đủ mạnh để giải quyết vấn đề chuyển giá của các tập đoàn đa quốc gia. Qua đó, đảm bảo việc xác định giá chuyển nhượng phù hợp với nơi giá trị được tạo lập và hoạt động kinh tế phải được đánh thuế tại nơi diễn ra hoạt động thực chất. Cùng chung mục tiêu ngăn ngừa, trốn tránh thuế, Tổng cục Thuế sớm xây dựng quy định chuẩn hoá về hồ sơ xác định giá giao dịch liên kết, phù hợp với thông lệ quốc tế, đáp ứng yêu cầu tăng cường quản lý rủi ro và hợp tác quốc tế về thuế. Ngoài ra, trước thực trạng số lượng các công ty đa quốc gia ngày càng tăng, quy mô lớn và giao dịch phức tạp, cơ quan thuế tăng cường hợp tác, chia sẻ kinh nghiệm với các quốc gia và tổ chức quốc tế trong việc ngăn chặn xói mòn cơ sở tính thuế và chuyển lợi nhuận (BEPS). Với việc vừa đẩy mạnh cải cách hành chính, gia tăng sự minh bạch của hệ thống thuế, vừa kiểm tra, giám sát chặt chẽ DN có dấu hiệu chuyển giá, trốn thuế, vốn mỏng, cơ quan thuế sẽ có căn cứ để sớm phát hiện và hạn chế tình trạng chuyển giá.</w:t>
      </w:r>
    </w:p>
    <w:p w:rsidR="006700FF" w:rsidRPr="00464C74" w:rsidRDefault="006700FF" w:rsidP="006700FF">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 xml:space="preserve">Nhằm thực thi hiệu quả các giải pháp về chính sách thuế, Tổng cục Thuế tiến hành tổng kết việc thi hành các luật thuế và thu NSNN hiện hành, nhằm đánh giá thực trạng </w:t>
      </w:r>
      <w:r w:rsidRPr="00464C74">
        <w:rPr>
          <w:rFonts w:ascii="Times New Roman" w:eastAsia="Times New Roman" w:hAnsi="Times New Roman" w:cs="Times New Roman"/>
          <w:color w:val="000000"/>
          <w:sz w:val="27"/>
          <w:szCs w:val="27"/>
        </w:rPr>
        <w:lastRenderedPageBreak/>
        <w:t>và hoàn thiện hệ thống chính sách thuế, bảo đảm minh bạch, rõ ràng, dễ hiểu, dễ thực hiện; mở rộng cơ sở thuế để phát triển nguồn thu, bao quát các nguồn thu mới phát sinh và cơ cấu lại theo hướng tăng nguồn thu nội địa (không kể thu từ dầu thô). Cùng với đó, xây dựng lộ trình sửa đổi Luật Thuế GTGT, Luật Thuế TTĐB, Luật Thuế TNDN, Luật Thuế TNCN, Luật Thuế bảo vệ môi trường giai đoạn 2021-2025; nghiên cứu sửa đổi các văn bản quy phạm pháp luật về thu NSNN liên quan đến đất đai, tài nguyên, khoáng sản, tài sản công. Đồng thời, rà soát hệ thống văn bản pháp luật trong quản lý thuế, NSNN, đảm bảo đồng bộ với các luật khác có liên quan tạo điều kiện cho việc thực thi và quản lý giám sát thu thuế.</w:t>
      </w:r>
    </w:p>
    <w:p w:rsidR="006700FF" w:rsidRPr="00464C74" w:rsidRDefault="006700FF" w:rsidP="006700FF">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Riêng trong năm 2020, ngoài việc xây dựng ban hành các văn bản hướng dẫn Luật Quản lý thuế, Tổng cục Thuế hoàn thiện cơ chế, chính sách về hoá đơn điện tử và quy định chuẩn hoá về hồ sơ xác định giá giao dịch liên kết, phù hợp với thông lệ quốc tế. Trong các năm tiếp theo, xây dựng thực hiện đề án về quy trình thanh tra, kiểm tra thuế trên cơ sở quản lý rủi ro, tạo thuận lợi hơn cho người nộp thuế và rút ngắn thời gian thanh tra; quy trình đăng ký, kê khai, nộp thuế đối với nhà cung cấp ở nước ngoài không có cơ sở thường trú tại Việt Nam có hoạt động kinh doanh thương mại điện tử, kinh doanh dựa trên nền tảng số phát sinh thu nhập tại Việt Nam; kết nối và trao đổi thông tin tự động giữa Tổng cục Thuế và Tổng cục Hải quan…</w:t>
      </w:r>
    </w:p>
    <w:p w:rsidR="006700FF" w:rsidRPr="00464C74" w:rsidRDefault="006700FF" w:rsidP="006700FF">
      <w:pPr>
        <w:spacing w:after="0" w:line="300" w:lineRule="atLeast"/>
        <w:jc w:val="right"/>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br/>
      </w:r>
      <w:r w:rsidRPr="00464C74">
        <w:rPr>
          <w:rFonts w:ascii="Times New Roman" w:eastAsia="Times New Roman" w:hAnsi="Times New Roman" w:cs="Times New Roman"/>
          <w:i/>
          <w:iCs/>
          <w:color w:val="000000"/>
          <w:sz w:val="27"/>
          <w:szCs w:val="27"/>
        </w:rPr>
        <w:t>(Nguồn: </w:t>
      </w:r>
      <w:hyperlink r:id="rId5" w:tgtFrame="_blank" w:history="1">
        <w:r w:rsidRPr="00464C74">
          <w:rPr>
            <w:rFonts w:ascii="Arial" w:eastAsia="Times New Roman" w:hAnsi="Arial" w:cs="Arial"/>
            <w:i/>
            <w:iCs/>
            <w:color w:val="0000FF"/>
            <w:sz w:val="27"/>
            <w:szCs w:val="27"/>
            <w:u w:val="single"/>
          </w:rPr>
          <w:t>Gdt.gov.vn</w:t>
        </w:r>
      </w:hyperlink>
      <w:r w:rsidRPr="00464C74">
        <w:rPr>
          <w:rFonts w:ascii="Times New Roman" w:eastAsia="Times New Roman" w:hAnsi="Times New Roman" w:cs="Times New Roman"/>
          <w:i/>
          <w:iCs/>
          <w:color w:val="000000"/>
          <w:sz w:val="27"/>
          <w:szCs w:val="27"/>
        </w:rPr>
        <w:t> - Mục Tin tức - Tin bài về Thuế - Đăng ngày: 16/03/2020)</w:t>
      </w:r>
    </w:p>
    <w:p w:rsidR="001E58F4" w:rsidRPr="001E58F4" w:rsidRDefault="001E58F4" w:rsidP="001E58F4">
      <w:bookmarkStart w:id="0" w:name="_GoBack"/>
      <w:bookmarkEnd w:id="0"/>
    </w:p>
    <w:sectPr w:rsidR="001E58F4" w:rsidRPr="001E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5FD4"/>
    <w:multiLevelType w:val="multilevel"/>
    <w:tmpl w:val="41F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5A40AB"/>
    <w:multiLevelType w:val="multilevel"/>
    <w:tmpl w:val="23F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F26261"/>
    <w:multiLevelType w:val="multilevel"/>
    <w:tmpl w:val="EBD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261E11"/>
    <w:multiLevelType w:val="multilevel"/>
    <w:tmpl w:val="5DD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AA0B50"/>
    <w:multiLevelType w:val="multilevel"/>
    <w:tmpl w:val="7DA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DB0BBC"/>
    <w:multiLevelType w:val="multilevel"/>
    <w:tmpl w:val="BC2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A0198F"/>
    <w:multiLevelType w:val="multilevel"/>
    <w:tmpl w:val="64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640D5F"/>
    <w:multiLevelType w:val="multilevel"/>
    <w:tmpl w:val="65E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01"/>
    <w:rsid w:val="00087F9F"/>
    <w:rsid w:val="0009109C"/>
    <w:rsid w:val="000C6E82"/>
    <w:rsid w:val="001E58F4"/>
    <w:rsid w:val="00244917"/>
    <w:rsid w:val="004E3DD2"/>
    <w:rsid w:val="00524001"/>
    <w:rsid w:val="005A7DB1"/>
    <w:rsid w:val="006700FF"/>
    <w:rsid w:val="006F32F7"/>
    <w:rsid w:val="00703F24"/>
    <w:rsid w:val="00762D18"/>
    <w:rsid w:val="007B1AE2"/>
    <w:rsid w:val="007D0D9E"/>
    <w:rsid w:val="007D5590"/>
    <w:rsid w:val="007E4013"/>
    <w:rsid w:val="008734E9"/>
    <w:rsid w:val="008F211A"/>
    <w:rsid w:val="00A67423"/>
    <w:rsid w:val="00B020F9"/>
    <w:rsid w:val="00BF3CF2"/>
    <w:rsid w:val="00C00A0C"/>
    <w:rsid w:val="00C175DD"/>
    <w:rsid w:val="00C753C9"/>
    <w:rsid w:val="00D437B5"/>
    <w:rsid w:val="00D5090F"/>
    <w:rsid w:val="00DB575E"/>
    <w:rsid w:val="00DC0DC5"/>
    <w:rsid w:val="00DC341A"/>
    <w:rsid w:val="00FE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3F5F-D869-489D-9E15-D1822F0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82"/>
    <w:pPr>
      <w:spacing w:after="200" w:line="276" w:lineRule="auto"/>
    </w:pPr>
  </w:style>
  <w:style w:type="paragraph" w:styleId="Heading1">
    <w:name w:val="heading 1"/>
    <w:basedOn w:val="Normal"/>
    <w:link w:val="Heading1Char"/>
    <w:uiPriority w:val="9"/>
    <w:qFormat/>
    <w:rsid w:val="00D43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F4"/>
    <w:rPr>
      <w:color w:val="0000FF"/>
      <w:u w:val="single"/>
    </w:rPr>
  </w:style>
  <w:style w:type="character" w:customStyle="1" w:styleId="Heading1Char">
    <w:name w:val="Heading 1 Char"/>
    <w:basedOn w:val="DefaultParagraphFont"/>
    <w:link w:val="Heading1"/>
    <w:uiPriority w:val="9"/>
    <w:rsid w:val="00D437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3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567">
      <w:bodyDiv w:val="1"/>
      <w:marLeft w:val="0"/>
      <w:marRight w:val="0"/>
      <w:marTop w:val="0"/>
      <w:marBottom w:val="0"/>
      <w:divBdr>
        <w:top w:val="none" w:sz="0" w:space="0" w:color="auto"/>
        <w:left w:val="none" w:sz="0" w:space="0" w:color="auto"/>
        <w:bottom w:val="none" w:sz="0" w:space="0" w:color="auto"/>
        <w:right w:val="none" w:sz="0" w:space="0" w:color="auto"/>
      </w:divBdr>
    </w:div>
    <w:div w:id="976229709">
      <w:bodyDiv w:val="1"/>
      <w:marLeft w:val="0"/>
      <w:marRight w:val="0"/>
      <w:marTop w:val="0"/>
      <w:marBottom w:val="0"/>
      <w:divBdr>
        <w:top w:val="none" w:sz="0" w:space="0" w:color="auto"/>
        <w:left w:val="none" w:sz="0" w:space="0" w:color="auto"/>
        <w:bottom w:val="none" w:sz="0" w:space="0" w:color="auto"/>
        <w:right w:val="none" w:sz="0" w:space="0" w:color="auto"/>
      </w:divBdr>
    </w:div>
    <w:div w:id="1556744892">
      <w:bodyDiv w:val="1"/>
      <w:marLeft w:val="0"/>
      <w:marRight w:val="0"/>
      <w:marTop w:val="0"/>
      <w:marBottom w:val="0"/>
      <w:divBdr>
        <w:top w:val="none" w:sz="0" w:space="0" w:color="auto"/>
        <w:left w:val="none" w:sz="0" w:space="0" w:color="auto"/>
        <w:bottom w:val="none" w:sz="0" w:space="0" w:color="auto"/>
        <w:right w:val="none" w:sz="0" w:space="0" w:color="auto"/>
      </w:divBdr>
    </w:div>
    <w:div w:id="1783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dt.gov.vn/wps/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38</cp:revision>
  <dcterms:created xsi:type="dcterms:W3CDTF">2020-02-24T02:41:00Z</dcterms:created>
  <dcterms:modified xsi:type="dcterms:W3CDTF">2020-04-09T02:53:00Z</dcterms:modified>
</cp:coreProperties>
</file>