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F7" w:rsidRPr="00464C74" w:rsidRDefault="006F32F7" w:rsidP="006F32F7">
      <w:pPr>
        <w:shd w:val="clear" w:color="auto" w:fill="FFFFFF"/>
        <w:spacing w:before="120" w:after="0" w:line="300" w:lineRule="atLeast"/>
        <w:jc w:val="center"/>
        <w:outlineLvl w:val="1"/>
        <w:rPr>
          <w:rFonts w:ascii="Times New Roman" w:eastAsia="Times New Roman" w:hAnsi="Times New Roman" w:cs="Times New Roman"/>
          <w:b/>
          <w:bCs/>
          <w:sz w:val="36"/>
          <w:szCs w:val="36"/>
        </w:rPr>
      </w:pPr>
      <w:r w:rsidRPr="00464C74">
        <w:rPr>
          <w:rFonts w:ascii="Times New Roman" w:eastAsia="Times New Roman" w:hAnsi="Times New Roman" w:cs="Times New Roman"/>
          <w:b/>
          <w:bCs/>
          <w:sz w:val="36"/>
          <w:szCs w:val="36"/>
        </w:rPr>
        <w:t>Kê khai không chính xác hàng hóa xuất - nhập khẩu khẩu sẽ bị ấn định thuế</w:t>
      </w:r>
    </w:p>
    <w:p w:rsidR="006F32F7" w:rsidRDefault="006F32F7" w:rsidP="006F32F7">
      <w:pPr>
        <w:spacing w:before="120" w:after="0" w:line="300" w:lineRule="atLeast"/>
        <w:jc w:val="both"/>
        <w:rPr>
          <w:rFonts w:ascii="Times New Roman" w:eastAsia="Times New Roman" w:hAnsi="Times New Roman" w:cs="Times New Roman"/>
          <w:color w:val="000000"/>
          <w:sz w:val="27"/>
          <w:szCs w:val="27"/>
        </w:rPr>
      </w:pPr>
    </w:p>
    <w:p w:rsidR="006F32F7" w:rsidRPr="00464C74" w:rsidRDefault="006F32F7" w:rsidP="006F32F7">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Luật Quản lý thuế số 38 quy định, nếu người nộp thuế vi phạm pháp luật về thuế và khai thuế dựa vào các tài liệu không hợp pháp. Không khai thuế, hoặc kê khai không chính xác, đầy đủ nội dung liên quan đến xác định nghĩa vụ thuế… sẽ bị ấn định thuế.</w:t>
      </w:r>
    </w:p>
    <w:p w:rsidR="006F32F7" w:rsidRPr="00464C74" w:rsidRDefault="006F32F7" w:rsidP="006F32F7">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Liên quan đến việc ấn định thuế, Luật Quản lý thuế số 38 giao Chính phủ có quy định chi tiết nội dung này. Các nội dung chủ yếu trong công tác ấn định thuế như: </w:t>
      </w:r>
    </w:p>
    <w:p w:rsidR="006F32F7" w:rsidRPr="00464C74" w:rsidRDefault="006F32F7" w:rsidP="006F32F7">
      <w:pPr>
        <w:numPr>
          <w:ilvl w:val="0"/>
          <w:numId w:val="7"/>
        </w:numPr>
        <w:spacing w:before="120" w:after="0" w:line="300" w:lineRule="atLeast"/>
        <w:rPr>
          <w:rFonts w:ascii="Times New Roman" w:eastAsia="Times New Roman" w:hAnsi="Times New Roman" w:cs="Times New Roman"/>
          <w:color w:val="000000"/>
          <w:sz w:val="24"/>
          <w:szCs w:val="24"/>
        </w:rPr>
      </w:pPr>
      <w:r w:rsidRPr="00464C74">
        <w:rPr>
          <w:rFonts w:ascii="Times New Roman" w:eastAsia="Times New Roman" w:hAnsi="Times New Roman" w:cs="Times New Roman"/>
          <w:color w:val="000000"/>
          <w:sz w:val="24"/>
          <w:szCs w:val="24"/>
        </w:rPr>
        <w:t>Trường hợp ấn định thuế;</w:t>
      </w:r>
    </w:p>
    <w:p w:rsidR="006F32F7" w:rsidRPr="00464C74" w:rsidRDefault="006F32F7" w:rsidP="006F32F7">
      <w:pPr>
        <w:numPr>
          <w:ilvl w:val="0"/>
          <w:numId w:val="7"/>
        </w:numPr>
        <w:spacing w:before="120" w:after="0" w:line="300" w:lineRule="atLeast"/>
        <w:rPr>
          <w:rFonts w:ascii="Times New Roman" w:eastAsia="Times New Roman" w:hAnsi="Times New Roman" w:cs="Times New Roman"/>
          <w:color w:val="000000"/>
          <w:sz w:val="24"/>
          <w:szCs w:val="24"/>
        </w:rPr>
      </w:pPr>
      <w:r w:rsidRPr="00464C74">
        <w:rPr>
          <w:rFonts w:ascii="Times New Roman" w:eastAsia="Times New Roman" w:hAnsi="Times New Roman" w:cs="Times New Roman"/>
          <w:color w:val="000000"/>
          <w:sz w:val="24"/>
          <w:szCs w:val="24"/>
        </w:rPr>
        <w:t>Căn cứ và phương pháp ấn định thuế;</w:t>
      </w:r>
    </w:p>
    <w:p w:rsidR="006F32F7" w:rsidRPr="00464C74" w:rsidRDefault="006F32F7" w:rsidP="006F32F7">
      <w:pPr>
        <w:numPr>
          <w:ilvl w:val="0"/>
          <w:numId w:val="7"/>
        </w:numPr>
        <w:spacing w:before="120" w:after="0" w:line="300" w:lineRule="atLeast"/>
        <w:rPr>
          <w:rFonts w:ascii="Times New Roman" w:eastAsia="Times New Roman" w:hAnsi="Times New Roman" w:cs="Times New Roman"/>
          <w:color w:val="000000"/>
          <w:sz w:val="24"/>
          <w:szCs w:val="24"/>
        </w:rPr>
      </w:pPr>
      <w:r w:rsidRPr="00464C74">
        <w:rPr>
          <w:rFonts w:ascii="Times New Roman" w:eastAsia="Times New Roman" w:hAnsi="Times New Roman" w:cs="Times New Roman"/>
          <w:color w:val="000000"/>
          <w:sz w:val="24"/>
          <w:szCs w:val="24"/>
        </w:rPr>
        <w:t>Thẩm quyền, thủ tục, quyết định ấn định thuế;</w:t>
      </w:r>
    </w:p>
    <w:p w:rsidR="006F32F7" w:rsidRPr="00464C74" w:rsidRDefault="006F32F7" w:rsidP="006F32F7">
      <w:pPr>
        <w:numPr>
          <w:ilvl w:val="0"/>
          <w:numId w:val="7"/>
        </w:numPr>
        <w:spacing w:before="120" w:after="0" w:line="300" w:lineRule="atLeast"/>
        <w:rPr>
          <w:rFonts w:ascii="Times New Roman" w:eastAsia="Times New Roman" w:hAnsi="Times New Roman" w:cs="Times New Roman"/>
          <w:color w:val="000000"/>
          <w:sz w:val="24"/>
          <w:szCs w:val="24"/>
        </w:rPr>
      </w:pPr>
      <w:r w:rsidRPr="00464C74">
        <w:rPr>
          <w:rFonts w:ascii="Times New Roman" w:eastAsia="Times New Roman" w:hAnsi="Times New Roman" w:cs="Times New Roman"/>
          <w:color w:val="000000"/>
          <w:sz w:val="24"/>
          <w:szCs w:val="24"/>
        </w:rPr>
        <w:t>Ấn định thuế đối với hàng hóa xuất khẩu, nhập khẩu...</w:t>
      </w:r>
    </w:p>
    <w:p w:rsidR="006F32F7" w:rsidRPr="00464C74" w:rsidRDefault="006F32F7" w:rsidP="006F32F7">
      <w:pPr>
        <w:spacing w:before="120" w:after="0" w:line="300" w:lineRule="atLeast"/>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sẽ được quy định một cách cụ thể. Đối với doanh nghiệp có giao dịch liên kết, việc ấn định thuế được thực hiện theo quy định của Chính phủ về quản lý thuế thuế đối với doanh nghiệp có giao dịch liên kết.</w:t>
      </w:r>
    </w:p>
    <w:p w:rsidR="006F32F7" w:rsidRPr="00464C74" w:rsidRDefault="006F32F7" w:rsidP="006F32F7">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Theo Điều 52 Luật Quản lý thuế số 38 quy định về ấn định thuế đối với hàng hóa xuất khẩu, nhập khẩu, thì cơ quan hải quan ấn định thuế đối với hàng hóa xuất khẩu, nhập khẩu trong các trường hợp:</w:t>
      </w:r>
    </w:p>
    <w:p w:rsidR="006F32F7" w:rsidRPr="00464C74" w:rsidRDefault="006F32F7" w:rsidP="006F32F7">
      <w:pPr>
        <w:numPr>
          <w:ilvl w:val="0"/>
          <w:numId w:val="8"/>
        </w:numPr>
        <w:spacing w:before="120" w:after="0" w:line="300" w:lineRule="atLeast"/>
        <w:rPr>
          <w:rFonts w:ascii="Times New Roman" w:eastAsia="Times New Roman" w:hAnsi="Times New Roman" w:cs="Times New Roman"/>
          <w:color w:val="000000"/>
          <w:sz w:val="24"/>
          <w:szCs w:val="24"/>
        </w:rPr>
      </w:pPr>
      <w:r w:rsidRPr="00464C74">
        <w:rPr>
          <w:rFonts w:ascii="Times New Roman" w:eastAsia="Times New Roman" w:hAnsi="Times New Roman" w:cs="Times New Roman"/>
          <w:color w:val="000000"/>
          <w:sz w:val="24"/>
          <w:szCs w:val="24"/>
        </w:rPr>
        <w:t>Người khai thuế dựa vào các tài liệu không hợp pháp để khai thuế, tính thuế;</w:t>
      </w:r>
    </w:p>
    <w:p w:rsidR="006F32F7" w:rsidRPr="00464C74" w:rsidRDefault="006F32F7" w:rsidP="006F32F7">
      <w:pPr>
        <w:numPr>
          <w:ilvl w:val="0"/>
          <w:numId w:val="8"/>
        </w:numPr>
        <w:spacing w:before="120" w:after="0" w:line="300" w:lineRule="atLeast"/>
        <w:rPr>
          <w:rFonts w:ascii="Times New Roman" w:eastAsia="Times New Roman" w:hAnsi="Times New Roman" w:cs="Times New Roman"/>
          <w:color w:val="000000"/>
          <w:sz w:val="24"/>
          <w:szCs w:val="24"/>
        </w:rPr>
      </w:pPr>
      <w:r w:rsidRPr="00464C74">
        <w:rPr>
          <w:rFonts w:ascii="Times New Roman" w:eastAsia="Times New Roman" w:hAnsi="Times New Roman" w:cs="Times New Roman"/>
          <w:color w:val="000000"/>
          <w:sz w:val="24"/>
          <w:szCs w:val="24"/>
        </w:rPr>
        <w:t>Không khai thuế hoặc kê khai không chính xác, đầy đủ nội dung liên quan đến xác định nghĩa vụ thuế.</w:t>
      </w:r>
    </w:p>
    <w:p w:rsidR="006F32F7" w:rsidRPr="00464C74" w:rsidRDefault="006F32F7" w:rsidP="006F32F7">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Quá thời hạn quy định mà người khai thuế không cung cấp, từ chối hoặc trì hoãn, kéo dài việc cung cấp hồ sơ, sổ kế toán, tài liệu, chứng từ, dữ liệu, số liệu liên quan đến việc xác định chính xác số tiền thuế phải nộp theo quy định.</w:t>
      </w:r>
    </w:p>
    <w:p w:rsidR="006F32F7" w:rsidRPr="00464C74" w:rsidRDefault="006F32F7" w:rsidP="006F32F7">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Người khai thuế không chứng minh, giải trình hoặc quá thời hạn quy định mà không giải trình được các nội dung liên quan đến việc xác định nghĩa vụ thuế theo quy định của pháp luật; không chấp hành quyết định kiểm tra, thanh tra của cơ quan hải quan.</w:t>
      </w:r>
    </w:p>
    <w:p w:rsidR="006F32F7" w:rsidRPr="00464C74" w:rsidRDefault="006F32F7" w:rsidP="006F32F7">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Người khai thuế không phản ánh, hoặc phản ánh không đầy đủ, trung thực, chính xác số liệu trên sổ kế toán để xác định nghĩa vụ thuế.</w:t>
      </w:r>
    </w:p>
    <w:p w:rsidR="006F32F7" w:rsidRPr="00464C74" w:rsidRDefault="006F32F7" w:rsidP="006F32F7">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Cơ quan hải quan có đủ bằng chứng, căn cứ xác định về việc khai báo trị giá không đúng với trị giá giao dịch thực tế; giao dịch được thực hiện không đúng với bản chất kinh tế, không đúng thực tế phát sinh, ảnh hưởng đến số tiền thuế phải nộp.</w:t>
      </w:r>
    </w:p>
    <w:p w:rsidR="006F32F7" w:rsidRPr="00464C74" w:rsidRDefault="006F32F7" w:rsidP="006F32F7">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lastRenderedPageBreak/>
        <w:t>Người khai thuế không tự tính được số tiền thuế phải nộp; trường hợp khác do cơ quan hải quan hoặc cơ quan khác phát hiện việc kê khai, tính thuế không đúng với quy định của pháp luật.</w:t>
      </w:r>
    </w:p>
    <w:p w:rsidR="006F32F7" w:rsidRPr="00464C74" w:rsidRDefault="006F32F7" w:rsidP="006F32F7">
      <w:pPr>
        <w:spacing w:before="120" w:after="0" w:line="300" w:lineRule="atLeast"/>
        <w:jc w:val="both"/>
        <w:rPr>
          <w:rFonts w:ascii="Times New Roman" w:eastAsia="Times New Roman" w:hAnsi="Times New Roman" w:cs="Times New Roman"/>
          <w:color w:val="000000"/>
          <w:sz w:val="27"/>
          <w:szCs w:val="27"/>
        </w:rPr>
      </w:pPr>
      <w:r w:rsidRPr="00464C74">
        <w:rPr>
          <w:rFonts w:ascii="Times New Roman" w:eastAsia="Times New Roman" w:hAnsi="Times New Roman" w:cs="Times New Roman"/>
          <w:color w:val="000000"/>
          <w:sz w:val="27"/>
          <w:szCs w:val="27"/>
        </w:rPr>
        <w:t>Cơ quan hải quan căn cứ hàng hóa thực tế xuất khẩu, nhập khẩu; căn cứ tính thuế, phương pháp tính thuế; cơ sở dữ liệu của cơ quan quản lý thuế và cơ sở dữ liệu thương mại; hồ sơ khai báo hải quan; tài liệu và các thông tin khác có liên quan đến hàng hóa xuất khẩu, nhập khẩu để ấn định số tiền thuế phải nộp./.</w:t>
      </w:r>
    </w:p>
    <w:p w:rsidR="006F32F7" w:rsidRPr="00464C74" w:rsidRDefault="006F32F7" w:rsidP="006F32F7">
      <w:pPr>
        <w:spacing w:after="0" w:line="300" w:lineRule="atLeast"/>
        <w:jc w:val="right"/>
        <w:rPr>
          <w:rFonts w:ascii="Times New Roman" w:eastAsia="Times New Roman" w:hAnsi="Times New Roman" w:cs="Times New Roman"/>
          <w:color w:val="000000"/>
          <w:sz w:val="27"/>
          <w:szCs w:val="27"/>
        </w:rPr>
      </w:pPr>
      <w:r w:rsidRPr="00464C74">
        <w:rPr>
          <w:rFonts w:ascii="Times New Roman" w:eastAsia="Times New Roman" w:hAnsi="Times New Roman" w:cs="Times New Roman"/>
          <w:i/>
          <w:iCs/>
          <w:color w:val="000000"/>
          <w:sz w:val="27"/>
          <w:szCs w:val="27"/>
        </w:rPr>
        <w:t>(Nguồn: </w:t>
      </w:r>
      <w:hyperlink r:id="rId5" w:tgtFrame="_blank" w:history="1">
        <w:r w:rsidRPr="00464C74">
          <w:rPr>
            <w:rFonts w:ascii="Arial" w:eastAsia="Times New Roman" w:hAnsi="Arial" w:cs="Arial"/>
            <w:i/>
            <w:iCs/>
            <w:color w:val="0000FF"/>
            <w:sz w:val="27"/>
            <w:szCs w:val="27"/>
            <w:u w:val="single"/>
          </w:rPr>
          <w:t>Thoibaotaichinhvietnam.vn</w:t>
        </w:r>
      </w:hyperlink>
      <w:r w:rsidRPr="00464C74">
        <w:rPr>
          <w:rFonts w:ascii="Times New Roman" w:eastAsia="Times New Roman" w:hAnsi="Times New Roman" w:cs="Times New Roman"/>
          <w:i/>
          <w:iCs/>
          <w:color w:val="000000"/>
          <w:sz w:val="27"/>
          <w:szCs w:val="27"/>
        </w:rPr>
        <w:t>; Xem chi tiết </w:t>
      </w:r>
      <w:hyperlink r:id="rId6" w:tgtFrame="_blank" w:history="1">
        <w:r w:rsidRPr="00464C74">
          <w:rPr>
            <w:rFonts w:ascii="Arial" w:eastAsia="Times New Roman" w:hAnsi="Arial" w:cs="Arial"/>
            <w:i/>
            <w:iCs/>
            <w:color w:val="0000FF"/>
            <w:sz w:val="27"/>
            <w:szCs w:val="27"/>
            <w:u w:val="single"/>
          </w:rPr>
          <w:t>tại đây</w:t>
        </w:r>
      </w:hyperlink>
      <w:r w:rsidRPr="00464C74">
        <w:rPr>
          <w:rFonts w:ascii="Times New Roman" w:eastAsia="Times New Roman" w:hAnsi="Times New Roman" w:cs="Times New Roman"/>
          <w:i/>
          <w:iCs/>
          <w:color w:val="000000"/>
          <w:sz w:val="27"/>
          <w:szCs w:val="27"/>
        </w:rPr>
        <w:t>)</w:t>
      </w:r>
    </w:p>
    <w:p w:rsidR="001E58F4" w:rsidRPr="001E58F4" w:rsidRDefault="001E58F4" w:rsidP="001E58F4">
      <w:bookmarkStart w:id="0" w:name="_GoBack"/>
      <w:bookmarkEnd w:id="0"/>
    </w:p>
    <w:sectPr w:rsidR="001E58F4" w:rsidRPr="001E5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695FD4"/>
    <w:multiLevelType w:val="multilevel"/>
    <w:tmpl w:val="41F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5A40AB"/>
    <w:multiLevelType w:val="multilevel"/>
    <w:tmpl w:val="23FE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F26261"/>
    <w:multiLevelType w:val="multilevel"/>
    <w:tmpl w:val="EBDA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261E11"/>
    <w:multiLevelType w:val="multilevel"/>
    <w:tmpl w:val="5DDE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AA0B50"/>
    <w:multiLevelType w:val="multilevel"/>
    <w:tmpl w:val="7DAA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DB0BBC"/>
    <w:multiLevelType w:val="multilevel"/>
    <w:tmpl w:val="BC2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A0198F"/>
    <w:multiLevelType w:val="multilevel"/>
    <w:tmpl w:val="647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640D5F"/>
    <w:multiLevelType w:val="multilevel"/>
    <w:tmpl w:val="65EC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01"/>
    <w:rsid w:val="00087F9F"/>
    <w:rsid w:val="0009109C"/>
    <w:rsid w:val="000C6E82"/>
    <w:rsid w:val="001E58F4"/>
    <w:rsid w:val="00244917"/>
    <w:rsid w:val="004E3DD2"/>
    <w:rsid w:val="00524001"/>
    <w:rsid w:val="005A7DB1"/>
    <w:rsid w:val="006F32F7"/>
    <w:rsid w:val="00703F24"/>
    <w:rsid w:val="00762D18"/>
    <w:rsid w:val="007B1AE2"/>
    <w:rsid w:val="007D0D9E"/>
    <w:rsid w:val="007D5590"/>
    <w:rsid w:val="007E4013"/>
    <w:rsid w:val="008734E9"/>
    <w:rsid w:val="008F211A"/>
    <w:rsid w:val="00A67423"/>
    <w:rsid w:val="00B020F9"/>
    <w:rsid w:val="00BF3CF2"/>
    <w:rsid w:val="00C00A0C"/>
    <w:rsid w:val="00C175DD"/>
    <w:rsid w:val="00C753C9"/>
    <w:rsid w:val="00D437B5"/>
    <w:rsid w:val="00D5090F"/>
    <w:rsid w:val="00DB575E"/>
    <w:rsid w:val="00DC0DC5"/>
    <w:rsid w:val="00DC3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F3F5F-D869-489D-9E15-D1822F07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E82"/>
    <w:pPr>
      <w:spacing w:after="200" w:line="276" w:lineRule="auto"/>
    </w:pPr>
  </w:style>
  <w:style w:type="paragraph" w:styleId="Heading1">
    <w:name w:val="heading 1"/>
    <w:basedOn w:val="Normal"/>
    <w:link w:val="Heading1Char"/>
    <w:uiPriority w:val="9"/>
    <w:qFormat/>
    <w:rsid w:val="00D437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F4"/>
    <w:rPr>
      <w:color w:val="0000FF"/>
      <w:u w:val="single"/>
    </w:rPr>
  </w:style>
  <w:style w:type="character" w:customStyle="1" w:styleId="Heading1Char">
    <w:name w:val="Heading 1 Char"/>
    <w:basedOn w:val="DefaultParagraphFont"/>
    <w:link w:val="Heading1"/>
    <w:uiPriority w:val="9"/>
    <w:rsid w:val="00D437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37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567">
      <w:bodyDiv w:val="1"/>
      <w:marLeft w:val="0"/>
      <w:marRight w:val="0"/>
      <w:marTop w:val="0"/>
      <w:marBottom w:val="0"/>
      <w:divBdr>
        <w:top w:val="none" w:sz="0" w:space="0" w:color="auto"/>
        <w:left w:val="none" w:sz="0" w:space="0" w:color="auto"/>
        <w:bottom w:val="none" w:sz="0" w:space="0" w:color="auto"/>
        <w:right w:val="none" w:sz="0" w:space="0" w:color="auto"/>
      </w:divBdr>
    </w:div>
    <w:div w:id="976229709">
      <w:bodyDiv w:val="1"/>
      <w:marLeft w:val="0"/>
      <w:marRight w:val="0"/>
      <w:marTop w:val="0"/>
      <w:marBottom w:val="0"/>
      <w:divBdr>
        <w:top w:val="none" w:sz="0" w:space="0" w:color="auto"/>
        <w:left w:val="none" w:sz="0" w:space="0" w:color="auto"/>
        <w:bottom w:val="none" w:sz="0" w:space="0" w:color="auto"/>
        <w:right w:val="none" w:sz="0" w:space="0" w:color="auto"/>
      </w:divBdr>
    </w:div>
    <w:div w:id="1556744892">
      <w:bodyDiv w:val="1"/>
      <w:marLeft w:val="0"/>
      <w:marRight w:val="0"/>
      <w:marTop w:val="0"/>
      <w:marBottom w:val="0"/>
      <w:divBdr>
        <w:top w:val="none" w:sz="0" w:space="0" w:color="auto"/>
        <w:left w:val="none" w:sz="0" w:space="0" w:color="auto"/>
        <w:bottom w:val="none" w:sz="0" w:space="0" w:color="auto"/>
        <w:right w:val="none" w:sz="0" w:space="0" w:color="auto"/>
      </w:divBdr>
    </w:div>
    <w:div w:id="17831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oibaotaichinhvietnam.vn/pages/thue-voi-cuoc-song/2020-03-16/ke-khai-khong-chinh-xac-hang-hoa-xuat-nhap-khau-khau-se-bi-an-dinh-thue-83887.aspx" TargetMode="External"/><Relationship Id="rId5" Type="http://schemas.openxmlformats.org/officeDocument/2006/relationships/hyperlink" Target="http://thoibaotaichinhvietnam.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36</cp:revision>
  <dcterms:created xsi:type="dcterms:W3CDTF">2020-02-24T02:41:00Z</dcterms:created>
  <dcterms:modified xsi:type="dcterms:W3CDTF">2020-04-09T02:39:00Z</dcterms:modified>
</cp:coreProperties>
</file>