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106DF" w:rsidTr="007106DF">
        <w:trPr>
          <w:tblCellSpacing w:w="0" w:type="dxa"/>
        </w:trPr>
        <w:tc>
          <w:tcPr>
            <w:tcW w:w="3348" w:type="dxa"/>
            <w:shd w:val="clear" w:color="auto" w:fill="FFFFFF"/>
            <w:tcMar>
              <w:top w:w="0" w:type="dxa"/>
              <w:left w:w="108" w:type="dxa"/>
              <w:bottom w:w="0" w:type="dxa"/>
              <w:right w:w="108" w:type="dxa"/>
            </w:tcMar>
            <w:hideMark/>
          </w:tcPr>
          <w:p w:rsidR="007106DF" w:rsidRDefault="007106D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TỔNG CỤC THUẾ</w:t>
            </w:r>
            <w:r>
              <w:rPr>
                <w:rFonts w:ascii="Arial" w:hAnsi="Arial" w:cs="Arial"/>
                <w:color w:val="000000"/>
                <w:sz w:val="20"/>
                <w:szCs w:val="20"/>
                <w:lang w:val="vi-VN"/>
              </w:rPr>
              <w:br/>
            </w:r>
            <w:r>
              <w:rPr>
                <w:rFonts w:ascii="Arial" w:hAnsi="Arial" w:cs="Arial"/>
                <w:b/>
                <w:bCs/>
                <w:color w:val="000000"/>
                <w:sz w:val="20"/>
                <w:szCs w:val="20"/>
                <w:lang w:val="vi-VN"/>
              </w:rPr>
              <w:t>CỤC THUẾ TP. HỒ CHÍ MINH</w:t>
            </w:r>
            <w:r>
              <w:rPr>
                <w:rFonts w:ascii="Arial"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7106DF" w:rsidRDefault="007106D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CỘNG HÒA XÃ HỘI CHỦ NGHĨA VIỆT NAM</w:t>
            </w:r>
            <w:r>
              <w:rPr>
                <w:rFonts w:ascii="Arial" w:hAnsi="Arial" w:cs="Arial"/>
                <w:b/>
                <w:bCs/>
                <w:color w:val="000000"/>
                <w:sz w:val="20"/>
                <w:szCs w:val="20"/>
                <w:lang w:val="vi-VN"/>
              </w:rPr>
              <w:br/>
              <w:t>Độc lập - Tự do - Hạnh phúc</w:t>
            </w:r>
            <w:r>
              <w:rPr>
                <w:rFonts w:ascii="Arial" w:hAnsi="Arial" w:cs="Arial"/>
                <w:b/>
                <w:bCs/>
                <w:color w:val="000000"/>
                <w:sz w:val="20"/>
                <w:szCs w:val="20"/>
                <w:lang w:val="vi-VN"/>
              </w:rPr>
              <w:br/>
              <w:t>---------------</w:t>
            </w:r>
          </w:p>
        </w:tc>
      </w:tr>
      <w:tr w:rsidR="007106DF" w:rsidTr="007106DF">
        <w:trPr>
          <w:tblCellSpacing w:w="0" w:type="dxa"/>
        </w:trPr>
        <w:tc>
          <w:tcPr>
            <w:tcW w:w="3348" w:type="dxa"/>
            <w:shd w:val="clear" w:color="auto" w:fill="FFFFFF"/>
            <w:tcMar>
              <w:top w:w="0" w:type="dxa"/>
              <w:left w:w="108" w:type="dxa"/>
              <w:bottom w:w="0" w:type="dxa"/>
              <w:right w:w="108" w:type="dxa"/>
            </w:tcMar>
            <w:hideMark/>
          </w:tcPr>
          <w:p w:rsidR="007106DF" w:rsidRDefault="007106D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Số: </w:t>
            </w:r>
            <w:r>
              <w:rPr>
                <w:rFonts w:ascii="Arial" w:hAnsi="Arial" w:cs="Arial"/>
                <w:color w:val="000000"/>
                <w:sz w:val="20"/>
                <w:szCs w:val="20"/>
              </w:rPr>
              <w:t>5750</w:t>
            </w:r>
            <w:r>
              <w:rPr>
                <w:rFonts w:ascii="Arial" w:hAnsi="Arial" w:cs="Arial"/>
                <w:color w:val="000000"/>
                <w:sz w:val="20"/>
                <w:szCs w:val="20"/>
                <w:lang w:val="vi-VN"/>
              </w:rPr>
              <w:t>/CT-TTHT</w:t>
            </w:r>
            <w:r>
              <w:rPr>
                <w:rFonts w:ascii="Arial" w:hAnsi="Arial" w:cs="Arial"/>
                <w:color w:val="000000"/>
                <w:sz w:val="20"/>
                <w:szCs w:val="20"/>
                <w:lang w:val="vi-VN"/>
              </w:rPr>
              <w:br/>
            </w:r>
            <w:r>
              <w:rPr>
                <w:rFonts w:ascii="Arial" w:hAnsi="Arial" w:cs="Arial"/>
                <w:i/>
                <w:iCs/>
                <w:color w:val="000000"/>
                <w:sz w:val="16"/>
                <w:szCs w:val="16"/>
                <w:lang w:val="vi-VN"/>
              </w:rPr>
              <w:t>V/v </w:t>
            </w:r>
            <w:r>
              <w:rPr>
                <w:rFonts w:ascii="Arial" w:hAnsi="Arial" w:cs="Arial"/>
                <w:i/>
                <w:iCs/>
                <w:color w:val="000000"/>
                <w:sz w:val="16"/>
                <w:szCs w:val="16"/>
              </w:rPr>
              <w:t>hóa đơn</w:t>
            </w:r>
          </w:p>
        </w:tc>
        <w:tc>
          <w:tcPr>
            <w:tcW w:w="5508" w:type="dxa"/>
            <w:shd w:val="clear" w:color="auto" w:fill="FFFFFF"/>
            <w:tcMar>
              <w:top w:w="0" w:type="dxa"/>
              <w:left w:w="108" w:type="dxa"/>
              <w:bottom w:w="0" w:type="dxa"/>
              <w:right w:w="108" w:type="dxa"/>
            </w:tcMar>
            <w:hideMark/>
          </w:tcPr>
          <w:p w:rsidR="007106DF" w:rsidRDefault="007106DF">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lang w:val="vi-VN"/>
              </w:rPr>
              <w:t>Thành phố Hồ Chí Minh, ngày </w:t>
            </w:r>
            <w:r>
              <w:rPr>
                <w:rFonts w:ascii="Arial" w:hAnsi="Arial" w:cs="Arial"/>
                <w:i/>
                <w:iCs/>
                <w:color w:val="000000"/>
                <w:sz w:val="20"/>
                <w:szCs w:val="20"/>
              </w:rPr>
              <w:t>10</w:t>
            </w:r>
            <w:r>
              <w:rPr>
                <w:rFonts w:ascii="Arial" w:hAnsi="Arial" w:cs="Arial"/>
                <w:i/>
                <w:iCs/>
                <w:color w:val="000000"/>
                <w:sz w:val="20"/>
                <w:szCs w:val="20"/>
                <w:lang w:val="vi-VN"/>
              </w:rPr>
              <w:t> tháng </w:t>
            </w:r>
            <w:r>
              <w:rPr>
                <w:rFonts w:ascii="Arial" w:hAnsi="Arial" w:cs="Arial"/>
                <w:i/>
                <w:iCs/>
                <w:color w:val="000000"/>
                <w:sz w:val="20"/>
                <w:szCs w:val="20"/>
              </w:rPr>
              <w:t>6</w:t>
            </w:r>
            <w:r>
              <w:rPr>
                <w:rFonts w:ascii="Arial" w:hAnsi="Arial" w:cs="Arial"/>
                <w:i/>
                <w:iCs/>
                <w:color w:val="000000"/>
                <w:sz w:val="20"/>
                <w:szCs w:val="20"/>
                <w:lang w:val="vi-VN"/>
              </w:rPr>
              <w:t> năm </w:t>
            </w:r>
            <w:r>
              <w:rPr>
                <w:rFonts w:ascii="Arial" w:hAnsi="Arial" w:cs="Arial"/>
                <w:i/>
                <w:iCs/>
                <w:color w:val="000000"/>
                <w:sz w:val="20"/>
                <w:szCs w:val="20"/>
              </w:rPr>
              <w:t>2019</w:t>
            </w:r>
          </w:p>
        </w:tc>
      </w:tr>
    </w:tbl>
    <w:p w:rsidR="007106DF" w:rsidRDefault="007106DF" w:rsidP="007106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7106DF" w:rsidRDefault="007106DF" w:rsidP="007106DF">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Kính gửi:</w:t>
      </w:r>
      <w:r>
        <w:rPr>
          <w:rFonts w:ascii="Arial" w:hAnsi="Arial" w:cs="Arial"/>
          <w:color w:val="000000"/>
          <w:sz w:val="20"/>
          <w:szCs w:val="20"/>
          <w:lang w:val="vi-VN"/>
        </w:rPr>
        <w:t> Chi nhánh Công ty TNHH Bosch Việt Nam tại Thành phố Hồ Chí Minh</w:t>
      </w:r>
      <w:r>
        <w:rPr>
          <w:rFonts w:ascii="Arial" w:hAnsi="Arial" w:cs="Arial"/>
          <w:color w:val="000000"/>
          <w:sz w:val="20"/>
          <w:szCs w:val="20"/>
        </w:rPr>
        <w:br/>
      </w:r>
      <w:r>
        <w:rPr>
          <w:rFonts w:ascii="Arial" w:hAnsi="Arial" w:cs="Arial"/>
          <w:color w:val="000000"/>
          <w:sz w:val="20"/>
          <w:szCs w:val="20"/>
          <w:lang w:val="vi-VN"/>
        </w:rPr>
        <w:t>Địa chỉ: Tầng 14, Ngôi nhà Đức, số 33, đường Lê Duẩn, phường B</w:t>
      </w:r>
      <w:r>
        <w:rPr>
          <w:rFonts w:ascii="Arial" w:hAnsi="Arial" w:cs="Arial"/>
          <w:color w:val="000000"/>
          <w:sz w:val="20"/>
          <w:szCs w:val="20"/>
        </w:rPr>
        <w:t>ế</w:t>
      </w:r>
      <w:r>
        <w:rPr>
          <w:rFonts w:ascii="Arial" w:hAnsi="Arial" w:cs="Arial"/>
          <w:color w:val="000000"/>
          <w:sz w:val="20"/>
          <w:szCs w:val="20"/>
          <w:lang w:val="vi-VN"/>
        </w:rPr>
        <w:t>n Nghé, Quận 1, TP.HCM</w:t>
      </w:r>
      <w:r>
        <w:rPr>
          <w:rFonts w:ascii="Arial" w:hAnsi="Arial" w:cs="Arial"/>
          <w:color w:val="000000"/>
          <w:sz w:val="20"/>
          <w:szCs w:val="20"/>
        </w:rPr>
        <w:br/>
      </w:r>
      <w:r>
        <w:rPr>
          <w:rFonts w:ascii="Arial" w:hAnsi="Arial" w:cs="Arial"/>
          <w:color w:val="000000"/>
          <w:sz w:val="20"/>
          <w:szCs w:val="20"/>
          <w:lang w:val="vi-VN"/>
        </w:rPr>
        <w:t>Mã số thuế: 3603119522-001</w:t>
      </w:r>
    </w:p>
    <w:p w:rsidR="007106DF" w:rsidRDefault="007106DF" w:rsidP="007106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Trả lời văn bản số 03/2019/RBVN ngày 30/3/2019 của Chi nhánh Công ty về h</w:t>
      </w:r>
      <w:r>
        <w:rPr>
          <w:rFonts w:ascii="Arial" w:hAnsi="Arial" w:cs="Arial"/>
          <w:color w:val="000000"/>
          <w:sz w:val="20"/>
          <w:szCs w:val="20"/>
        </w:rPr>
        <w:t>óa</w:t>
      </w:r>
      <w:r>
        <w:rPr>
          <w:rFonts w:ascii="Arial" w:hAnsi="Arial" w:cs="Arial"/>
          <w:color w:val="000000"/>
          <w:sz w:val="20"/>
          <w:szCs w:val="20"/>
          <w:lang w:val="vi-VN"/>
        </w:rPr>
        <w:t> đơn, Cục thuế TP có ý kiến như sau:</w:t>
      </w:r>
    </w:p>
    <w:p w:rsidR="007106DF" w:rsidRDefault="007106DF" w:rsidP="007106DF">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Căn cứ Thông tư số </w:t>
      </w:r>
      <w:hyperlink r:id="rId4" w:tgtFrame="_blank" w:tooltip="Thông tư 39/2014/TT-BTC" w:history="1">
        <w:r>
          <w:rPr>
            <w:rStyle w:val="Hyperlink"/>
            <w:rFonts w:ascii="Arial" w:hAnsi="Arial" w:cs="Arial"/>
            <w:color w:val="0E70C3"/>
            <w:sz w:val="20"/>
            <w:szCs w:val="20"/>
            <w:u w:val="none"/>
            <w:lang w:val="vi-VN"/>
          </w:rPr>
          <w:t>39/2014/TT-BTC</w:t>
        </w:r>
      </w:hyperlink>
      <w:r>
        <w:rPr>
          <w:rFonts w:ascii="Arial" w:hAnsi="Arial" w:cs="Arial"/>
          <w:color w:val="000000"/>
          <w:sz w:val="20"/>
          <w:szCs w:val="20"/>
          <w:lang w:val="vi-VN"/>
        </w:rPr>
        <w:t> ngày 31/03/2014 của Bộ Tài chính hướng dẫn về hóa đơn bán hàng hóa, cung ứng dịch vụ;</w:t>
      </w:r>
    </w:p>
    <w:p w:rsidR="007106DF" w:rsidRDefault="007106DF" w:rsidP="007106DF">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Căn cứ Điều 3 Thông tư số </w:t>
      </w:r>
      <w:hyperlink r:id="rId5" w:tgtFrame="_blank" w:tooltip="Thông tư 26/2015/TT-BTC" w:history="1">
        <w:r>
          <w:rPr>
            <w:rStyle w:val="Hyperlink"/>
            <w:rFonts w:ascii="Arial" w:hAnsi="Arial" w:cs="Arial"/>
            <w:color w:val="0E70C3"/>
            <w:sz w:val="20"/>
            <w:szCs w:val="20"/>
            <w:u w:val="none"/>
            <w:lang w:val="vi-VN"/>
          </w:rPr>
          <w:t>26/2015/TT-BTC</w:t>
        </w:r>
      </w:hyperlink>
      <w:r>
        <w:rPr>
          <w:rFonts w:ascii="Arial" w:hAnsi="Arial" w:cs="Arial"/>
          <w:color w:val="000000"/>
          <w:sz w:val="20"/>
          <w:szCs w:val="20"/>
          <w:lang w:val="vi-VN"/>
        </w:rPr>
        <w:t> của Bộ Tài chính ngày 27/02/2015 sửa đổi, bổ sung một số điều của Thông tư số </w:t>
      </w:r>
      <w:hyperlink r:id="rId6" w:tgtFrame="_blank" w:tooltip="Thông tư 39/2014/TT-BTC" w:history="1">
        <w:r>
          <w:rPr>
            <w:rStyle w:val="Hyperlink"/>
            <w:rFonts w:ascii="Arial" w:hAnsi="Arial" w:cs="Arial"/>
            <w:color w:val="0E70C3"/>
            <w:sz w:val="20"/>
            <w:szCs w:val="20"/>
            <w:u w:val="none"/>
            <w:lang w:val="vi-VN"/>
          </w:rPr>
          <w:t>39/2014/TT-BTC</w:t>
        </w:r>
      </w:hyperlink>
      <w:r>
        <w:rPr>
          <w:rFonts w:ascii="Arial" w:hAnsi="Arial" w:cs="Arial"/>
          <w:color w:val="000000"/>
          <w:sz w:val="20"/>
          <w:szCs w:val="20"/>
          <w:lang w:val="vi-VN"/>
        </w:rPr>
        <w:t> ngày 31/3/2014 hướng dẫn thi hành Nghị định số </w:t>
      </w:r>
      <w:hyperlink r:id="rId7" w:tgtFrame="_blank" w:tooltip="Nghị định 51/2010/NĐ-CP" w:history="1">
        <w:r>
          <w:rPr>
            <w:rStyle w:val="Hyperlink"/>
            <w:rFonts w:ascii="Arial" w:hAnsi="Arial" w:cs="Arial"/>
            <w:color w:val="0E70C3"/>
            <w:sz w:val="20"/>
            <w:szCs w:val="20"/>
            <w:u w:val="none"/>
            <w:lang w:val="vi-VN"/>
          </w:rPr>
          <w:t>51/2010/NĐ-CP</w:t>
        </w:r>
      </w:hyperlink>
      <w:r>
        <w:rPr>
          <w:rFonts w:ascii="Arial" w:hAnsi="Arial" w:cs="Arial"/>
          <w:color w:val="000000"/>
          <w:sz w:val="20"/>
          <w:szCs w:val="20"/>
          <w:lang w:val="vi-VN"/>
        </w:rPr>
        <w:t> ngày 14 tháng 5 năm 2010 và Nghị định số </w:t>
      </w:r>
      <w:hyperlink r:id="rId8" w:tgtFrame="_blank" w:tooltip="Nghị định 04/2014/NĐ-CP" w:history="1">
        <w:r>
          <w:rPr>
            <w:rStyle w:val="Hyperlink"/>
            <w:rFonts w:ascii="Arial" w:hAnsi="Arial" w:cs="Arial"/>
            <w:color w:val="0E70C3"/>
            <w:sz w:val="20"/>
            <w:szCs w:val="20"/>
            <w:u w:val="none"/>
            <w:lang w:val="vi-VN"/>
          </w:rPr>
          <w:t>04/2014/NĐ-CP</w:t>
        </w:r>
      </w:hyperlink>
      <w:r>
        <w:rPr>
          <w:rFonts w:ascii="Arial" w:hAnsi="Arial" w:cs="Arial"/>
          <w:color w:val="000000"/>
          <w:sz w:val="20"/>
          <w:szCs w:val="20"/>
          <w:lang w:val="vi-VN"/>
        </w:rPr>
        <w:t> ngày 17 tháng 01 năm 2014 của Chính phủ quy định về h</w:t>
      </w:r>
      <w:r>
        <w:rPr>
          <w:rFonts w:ascii="Arial" w:hAnsi="Arial" w:cs="Arial"/>
          <w:color w:val="000000"/>
          <w:sz w:val="20"/>
          <w:szCs w:val="20"/>
        </w:rPr>
        <w:t>óa</w:t>
      </w:r>
      <w:r>
        <w:rPr>
          <w:rFonts w:ascii="Arial" w:hAnsi="Arial" w:cs="Arial"/>
          <w:color w:val="000000"/>
          <w:sz w:val="20"/>
          <w:szCs w:val="20"/>
          <w:lang w:val="vi-VN"/>
        </w:rPr>
        <w:t> đơn bán hàng hóa, cung ứng dịch vụ:</w:t>
      </w:r>
    </w:p>
    <w:p w:rsidR="007106DF" w:rsidRDefault="007106DF" w:rsidP="007106DF">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“Điều 3. Sửa đổi, bổ sung một số điều của Thông tư số </w:t>
      </w:r>
      <w:hyperlink r:id="rId9" w:tgtFrame="_blank" w:tooltip="Thông tư 39/2014/TT-BTC" w:history="1">
        <w:r>
          <w:rPr>
            <w:rStyle w:val="Hyperlink"/>
            <w:rFonts w:ascii="Arial" w:hAnsi="Arial" w:cs="Arial"/>
            <w:color w:val="0E70C3"/>
            <w:sz w:val="20"/>
            <w:szCs w:val="20"/>
            <w:u w:val="none"/>
            <w:lang w:val="vi-VN"/>
          </w:rPr>
          <w:t>39/2014/TT-BTC</w:t>
        </w:r>
      </w:hyperlink>
      <w:r>
        <w:rPr>
          <w:rFonts w:ascii="Arial" w:hAnsi="Arial" w:cs="Arial"/>
          <w:color w:val="000000"/>
          <w:sz w:val="20"/>
          <w:szCs w:val="20"/>
          <w:lang w:val="vi-VN"/>
        </w:rPr>
        <w:t> ngày 31/3/2014 hướng dẫn thi hành Nghị định số </w:t>
      </w:r>
      <w:hyperlink r:id="rId10" w:tgtFrame="_blank" w:tooltip="Nghị định 51/2010/NĐ-CP" w:history="1">
        <w:r>
          <w:rPr>
            <w:rStyle w:val="Hyperlink"/>
            <w:rFonts w:ascii="Arial" w:hAnsi="Arial" w:cs="Arial"/>
            <w:color w:val="0E70C3"/>
            <w:sz w:val="20"/>
            <w:szCs w:val="20"/>
            <w:u w:val="none"/>
            <w:lang w:val="vi-VN"/>
          </w:rPr>
          <w:t>51/2010/NĐ-CP</w:t>
        </w:r>
      </w:hyperlink>
      <w:r>
        <w:rPr>
          <w:rFonts w:ascii="Arial" w:hAnsi="Arial" w:cs="Arial"/>
          <w:color w:val="000000"/>
          <w:sz w:val="20"/>
          <w:szCs w:val="20"/>
          <w:lang w:val="vi-VN"/>
        </w:rPr>
        <w:t> ngày 14 tháng 5 năm 2010 và Nghị định số </w:t>
      </w:r>
      <w:hyperlink r:id="rId11" w:tgtFrame="_blank" w:tooltip="Nghị định 04/2014/NĐ-CP" w:history="1">
        <w:r>
          <w:rPr>
            <w:rStyle w:val="Hyperlink"/>
            <w:rFonts w:ascii="Arial" w:hAnsi="Arial" w:cs="Arial"/>
            <w:color w:val="0E70C3"/>
            <w:sz w:val="20"/>
            <w:szCs w:val="20"/>
            <w:u w:val="none"/>
            <w:lang w:val="vi-VN"/>
          </w:rPr>
          <w:t>04/2014/NĐ-CP</w:t>
        </w:r>
      </w:hyperlink>
      <w:r>
        <w:rPr>
          <w:rFonts w:ascii="Arial" w:hAnsi="Arial" w:cs="Arial"/>
          <w:color w:val="000000"/>
          <w:sz w:val="20"/>
          <w:szCs w:val="20"/>
          <w:lang w:val="vi-VN"/>
        </w:rPr>
        <w:t> ngày 17 tháng 01 năm 2014 của Chính phủ quy định về h</w:t>
      </w:r>
      <w:r>
        <w:rPr>
          <w:rFonts w:ascii="Arial" w:hAnsi="Arial" w:cs="Arial"/>
          <w:color w:val="000000"/>
          <w:sz w:val="20"/>
          <w:szCs w:val="20"/>
        </w:rPr>
        <w:t>óa</w:t>
      </w:r>
      <w:r>
        <w:rPr>
          <w:rFonts w:ascii="Arial" w:hAnsi="Arial" w:cs="Arial"/>
          <w:color w:val="000000"/>
          <w:sz w:val="20"/>
          <w:szCs w:val="20"/>
          <w:lang w:val="vi-VN"/>
        </w:rPr>
        <w:t> đơn bán hàng hóa, cung ứng dịch vụ như sau:</w:t>
      </w:r>
    </w:p>
    <w:p w:rsidR="007106DF" w:rsidRDefault="007106DF" w:rsidP="007106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 Sửa đổi điểm k Khoản 1 Điều 4 như sau:</w:t>
      </w:r>
    </w:p>
    <w:p w:rsidR="007106DF" w:rsidRDefault="007106DF" w:rsidP="007106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“k) Hóa đơn được thể hiện bằng tiếng Việt. Trường hợp cần ghi thêm chữ nước ngoài thì chữ nước ngoài được đặt bên phải trong ngoặc đơn ( ) hoặc đặt ngay dưới dòng tiếng Việt và có cỡ nhỏ hơn chữ tiếng Việt.</w:t>
      </w:r>
    </w:p>
    <w:p w:rsidR="007106DF" w:rsidRDefault="007106DF" w:rsidP="007106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Chữ số ghi trên hóa đơn là các chữ số tự nhiên: 0, 1,2, 3, 4, 5, 6, 7, 8, 9; Người bán được lựa chọn: sau chữ số hàng nghìn, triệu, tỷ, nghìn tỷ, triệu tỷ, tỷ tỷ phải đặt dấu chấm (.), nếu có ghi chữ số sau chữ số hàng đơn vị phải đặt dấu phẩy (,) sau chữ số hàng đơn vị hoặc sử dụng dấu phân cách số tự nhiên là dấu phẩy (,) sau chữ số hàng nghìn, triệu, tỷ, nghìn tỷ, triệu tỷ, tỷ tỷ và sử dụng dấu chấm (.) sau chữ số hàng đơn vị trên chứng từ kế toán;</w:t>
      </w:r>
    </w:p>
    <w:p w:rsidR="007106DF" w:rsidRDefault="007106DF" w:rsidP="007106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Dòng tổng tiền thanh toán trên hóa đơn phải được ghi bằng chữ. Trường h</w:t>
      </w:r>
      <w:r>
        <w:rPr>
          <w:rFonts w:ascii="Arial" w:hAnsi="Arial" w:cs="Arial"/>
          <w:color w:val="000000"/>
          <w:sz w:val="20"/>
          <w:szCs w:val="20"/>
        </w:rPr>
        <w:t>ợ</w:t>
      </w:r>
      <w:r>
        <w:rPr>
          <w:rFonts w:ascii="Arial" w:hAnsi="Arial" w:cs="Arial"/>
          <w:color w:val="000000"/>
          <w:sz w:val="20"/>
          <w:szCs w:val="20"/>
          <w:lang w:val="vi-VN"/>
        </w:rPr>
        <w:t>p chữ trên hóa đơn là chữ tiếng Việt không dấu thì các chữ viết không dấu trên hóa đơn phải đảm bảo không dẫn tới cách hiểu sai lệch nội dung của hóa đơn</w:t>
      </w:r>
    </w:p>
    <w:p w:rsidR="007106DF" w:rsidRDefault="007106DF" w:rsidP="007106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Mỗi mẫu hóa đơn sử dụng của một tổ chức, cá nhân phải có cùng kích thước (trừ trường hợp hóa đơn tự in trên máy tính tiền được in từ giấy cuộn không nhất thiết cố định độ dài, độ dài của hóa đơn phụ thuộc vào độ dài của danh mục hàng hóa bán ra).</w:t>
      </w:r>
    </w:p>
    <w:p w:rsidR="007106DF" w:rsidRDefault="007106DF" w:rsidP="007106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7106DF" w:rsidRDefault="007106DF" w:rsidP="007106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7. Sửa đổi, bổ sung Điều 16 như sau:</w:t>
      </w:r>
    </w:p>
    <w:p w:rsidR="007106DF" w:rsidRDefault="007106DF" w:rsidP="007106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7106DF" w:rsidRDefault="007106DF" w:rsidP="007106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b) Sửa đổi, bổ sung điểm b Khoản 2 Điều 16 như sau:</w:t>
      </w:r>
    </w:p>
    <w:p w:rsidR="007106DF" w:rsidRDefault="007106DF" w:rsidP="007106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“b) Tiêu thức “Tên, địa chỉ, mã số thuế, của người bán”, “tên, địa chỉ, mã số thuế của người mua”</w:t>
      </w:r>
    </w:p>
    <w:p w:rsidR="007106DF" w:rsidRDefault="007106DF" w:rsidP="007106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Người bán phải ghi đúng tiêu thức “mã số thuế” của người mua và người bán.</w:t>
      </w:r>
    </w:p>
    <w:p w:rsidR="007106DF" w:rsidRDefault="007106DF" w:rsidP="007106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Tiêu thức “tên, địa chỉ” của người bán, người mua phải viết đầy đủ, trường hợp viết tắt thì phải đảm bảo xác định đúng người mua, người bán.</w:t>
      </w:r>
    </w:p>
    <w:p w:rsidR="007106DF" w:rsidRDefault="007106DF" w:rsidP="007106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Trường hợp tên, địa chỉ người mua quá dài, trên hóa đơn người bán được viết ngắn gọn một số danh từ thông dụng như: "Phường" thành "P"; "Quận" thành "Q", "Thành phố" thành "TP", "Việt Nam" thành "VN" hoặc "Cổ phần" là "CP", "Trách nhiệm Hữu hạn" thành "TNHH", "khu công nghiệp" thành "KCN", "sản xuất" thành "SX", "Chi nhánh" thành "CN"... nhưng phải đảm bảo đầy đủ số nhà, tên đường phố, phường, xã, quận, huyện, thành phố, xác định được chính xác tên, địa chỉ doanh nghiệp và phù hợp với đăng ký kinh doanh, đăng ký thuế của doanh nghiệp.</w:t>
      </w:r>
    </w:p>
    <w:p w:rsidR="007106DF" w:rsidRDefault="007106DF" w:rsidP="007106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Căn cứ quy định nêu trên, trường hợp Chi nhánh Công ty sử dụng phần mềm kế toán của nước ngoài, khi lập hóa đơn xuất giao khách hàng chữ viết tại tiêu thức “tên, địa chỉ người mua hàng” là chữ tiếng Việt không dấu nhưng đảm bảo xác định được chính xác người mua thì các hóa đơn điện tử này là hợp lệ để kê khai thuế.</w:t>
      </w:r>
    </w:p>
    <w:p w:rsidR="007106DF" w:rsidRDefault="007106DF" w:rsidP="007106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Cục Thuế TP trả lời để Chi nhánh Công ty biết và thực hiện theo đúng quy định tại các văn bản quy phạm pháp luật đã được trích dẫn tại công văn này</w:t>
      </w:r>
      <w:r>
        <w:rPr>
          <w:rFonts w:ascii="Arial" w:hAnsi="Arial" w:cs="Arial"/>
          <w:color w:val="000000"/>
          <w:sz w:val="20"/>
          <w:szCs w:val="20"/>
        </w:rPr>
        <w:t>.</w:t>
      </w:r>
    </w:p>
    <w:p w:rsidR="007106DF" w:rsidRDefault="007106DF" w:rsidP="007106D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106DF" w:rsidTr="007106DF">
        <w:trPr>
          <w:tblCellSpacing w:w="0" w:type="dxa"/>
        </w:trPr>
        <w:tc>
          <w:tcPr>
            <w:tcW w:w="4428" w:type="dxa"/>
            <w:shd w:val="clear" w:color="auto" w:fill="FFFFFF"/>
            <w:tcMar>
              <w:top w:w="0" w:type="dxa"/>
              <w:left w:w="108" w:type="dxa"/>
              <w:bottom w:w="0" w:type="dxa"/>
              <w:right w:w="108" w:type="dxa"/>
            </w:tcMar>
            <w:hideMark/>
          </w:tcPr>
          <w:p w:rsidR="007106DF" w:rsidRDefault="007106DF">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lang w:val="vi-VN"/>
              </w:rPr>
              <w:br/>
              <w:t>Nơi nhận:</w:t>
            </w:r>
            <w:r>
              <w:rPr>
                <w:rFonts w:ascii="Arial" w:hAnsi="Arial" w:cs="Arial"/>
                <w:b/>
                <w:bCs/>
                <w:i/>
                <w:iCs/>
                <w:color w:val="000000"/>
                <w:sz w:val="20"/>
                <w:szCs w:val="20"/>
                <w:lang w:val="vi-VN"/>
              </w:rPr>
              <w:br/>
            </w:r>
            <w:r>
              <w:rPr>
                <w:rFonts w:ascii="Arial" w:hAnsi="Arial" w:cs="Arial"/>
                <w:color w:val="000000"/>
                <w:sz w:val="16"/>
                <w:szCs w:val="16"/>
                <w:lang w:val="vi-VN"/>
              </w:rPr>
              <w:t>- Như trên;</w:t>
            </w:r>
            <w:r>
              <w:rPr>
                <w:rFonts w:ascii="Arial" w:hAnsi="Arial" w:cs="Arial"/>
                <w:color w:val="000000"/>
                <w:sz w:val="16"/>
                <w:szCs w:val="16"/>
                <w:lang w:val="vi-VN"/>
              </w:rPr>
              <w:br/>
              <w:t>- Phòng Kiểm tra 2;</w:t>
            </w:r>
            <w:r>
              <w:rPr>
                <w:rFonts w:ascii="Arial" w:hAnsi="Arial" w:cs="Arial"/>
                <w:color w:val="000000"/>
                <w:sz w:val="16"/>
                <w:szCs w:val="16"/>
                <w:lang w:val="vi-VN"/>
              </w:rPr>
              <w:br/>
              <w:t>- Phòng PC;</w:t>
            </w:r>
            <w:r>
              <w:rPr>
                <w:rFonts w:ascii="Arial" w:hAnsi="Arial" w:cs="Arial"/>
                <w:color w:val="000000"/>
                <w:sz w:val="16"/>
                <w:szCs w:val="16"/>
                <w:lang w:val="vi-VN"/>
              </w:rPr>
              <w:br/>
              <w:t>- Lưu: VT, TTHT.</w:t>
            </w:r>
            <w:r>
              <w:rPr>
                <w:rFonts w:ascii="Arial" w:hAnsi="Arial" w:cs="Arial"/>
                <w:color w:val="000000"/>
                <w:sz w:val="16"/>
                <w:szCs w:val="16"/>
                <w:lang w:val="vi-VN"/>
              </w:rPr>
              <w:br/>
              <w:t>531/19/pntsi</w:t>
            </w:r>
          </w:p>
        </w:tc>
        <w:tc>
          <w:tcPr>
            <w:tcW w:w="4428" w:type="dxa"/>
            <w:shd w:val="clear" w:color="auto" w:fill="FFFFFF"/>
            <w:tcMar>
              <w:top w:w="0" w:type="dxa"/>
              <w:left w:w="108" w:type="dxa"/>
              <w:bottom w:w="0" w:type="dxa"/>
              <w:right w:w="108" w:type="dxa"/>
            </w:tcMar>
            <w:hideMark/>
          </w:tcPr>
          <w:p w:rsidR="007106DF" w:rsidRDefault="007106D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KT. CỤC TRƯỞNG</w:t>
            </w:r>
            <w:r>
              <w:rPr>
                <w:rFonts w:ascii="Arial" w:hAnsi="Arial" w:cs="Arial"/>
                <w:b/>
                <w:bCs/>
                <w:color w:val="000000"/>
                <w:sz w:val="20"/>
                <w:szCs w:val="20"/>
              </w:rPr>
              <w:br/>
              <w:t>PHÓ CỤC TRƯỞNG</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Nguyễn Nam Bình</w:t>
            </w:r>
          </w:p>
        </w:tc>
      </w:tr>
    </w:tbl>
    <w:p w:rsidR="00F078D6" w:rsidRPr="007106DF" w:rsidRDefault="007106DF" w:rsidP="007106DF">
      <w:bookmarkStart w:id="0" w:name="_GoBack"/>
      <w:bookmarkEnd w:id="0"/>
    </w:p>
    <w:sectPr w:rsidR="00F078D6" w:rsidRPr="00710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4E"/>
    <w:rsid w:val="00151ACC"/>
    <w:rsid w:val="002C7E17"/>
    <w:rsid w:val="00461F3A"/>
    <w:rsid w:val="007106DF"/>
    <w:rsid w:val="009927D0"/>
    <w:rsid w:val="00A2394E"/>
    <w:rsid w:val="00D416A4"/>
    <w:rsid w:val="00F0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71BB0-D9B8-45F4-B6A1-34179FBC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7E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7E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94444">
      <w:bodyDiv w:val="1"/>
      <w:marLeft w:val="0"/>
      <w:marRight w:val="0"/>
      <w:marTop w:val="0"/>
      <w:marBottom w:val="0"/>
      <w:divBdr>
        <w:top w:val="none" w:sz="0" w:space="0" w:color="auto"/>
        <w:left w:val="none" w:sz="0" w:space="0" w:color="auto"/>
        <w:bottom w:val="none" w:sz="0" w:space="0" w:color="auto"/>
        <w:right w:val="none" w:sz="0" w:space="0" w:color="auto"/>
      </w:divBdr>
    </w:div>
    <w:div w:id="526531338">
      <w:bodyDiv w:val="1"/>
      <w:marLeft w:val="0"/>
      <w:marRight w:val="0"/>
      <w:marTop w:val="0"/>
      <w:marBottom w:val="0"/>
      <w:divBdr>
        <w:top w:val="none" w:sz="0" w:space="0" w:color="auto"/>
        <w:left w:val="none" w:sz="0" w:space="0" w:color="auto"/>
        <w:bottom w:val="none" w:sz="0" w:space="0" w:color="auto"/>
        <w:right w:val="none" w:sz="0" w:space="0" w:color="auto"/>
      </w:divBdr>
    </w:div>
    <w:div w:id="1326324600">
      <w:bodyDiv w:val="1"/>
      <w:marLeft w:val="0"/>
      <w:marRight w:val="0"/>
      <w:marTop w:val="0"/>
      <w:marBottom w:val="0"/>
      <w:divBdr>
        <w:top w:val="none" w:sz="0" w:space="0" w:color="auto"/>
        <w:left w:val="none" w:sz="0" w:space="0" w:color="auto"/>
        <w:bottom w:val="none" w:sz="0" w:space="0" w:color="auto"/>
        <w:right w:val="none" w:sz="0" w:space="0" w:color="auto"/>
      </w:divBdr>
    </w:div>
    <w:div w:id="1810509017">
      <w:bodyDiv w:val="1"/>
      <w:marLeft w:val="0"/>
      <w:marRight w:val="0"/>
      <w:marTop w:val="0"/>
      <w:marBottom w:val="0"/>
      <w:divBdr>
        <w:top w:val="none" w:sz="0" w:space="0" w:color="auto"/>
        <w:left w:val="none" w:sz="0" w:space="0" w:color="auto"/>
        <w:bottom w:val="none" w:sz="0" w:space="0" w:color="auto"/>
        <w:right w:val="none" w:sz="0" w:space="0" w:color="auto"/>
      </w:divBdr>
    </w:div>
    <w:div w:id="207939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04-2014-nd-cp-sua-doi-nghi-dinh-51-2010-nd-cp-hoa-don-ban-hang-hoa-cung-ung-dich-vu-219728.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uvienphapluat.vn/van-ban/thue-phi-le-phi/nghi-dinh-51-2010-nd-cp-hoa-don-ban-hang-hoa-cung-ung-dich-vu-105694.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ong-mai/thong-tu-39-2014-tt-btc-huong-dan-51-2010-nd-cp-04-2014-nd-cp-hoa-don-ban-hang-hoa-dich-vu-229190.aspx" TargetMode="External"/><Relationship Id="rId11" Type="http://schemas.openxmlformats.org/officeDocument/2006/relationships/hyperlink" Target="https://thuvienphapluat.vn/van-ban/thuong-mai/nghi-dinh-04-2014-nd-cp-sua-doi-nghi-dinh-51-2010-nd-cp-hoa-don-ban-hang-hoa-cung-ung-dich-vu-219728.aspx" TargetMode="External"/><Relationship Id="rId5" Type="http://schemas.openxmlformats.org/officeDocument/2006/relationships/hyperlink" Target="https://thuvienphapluat.vn/van-ban/thue-phi-le-phi/thong-tu-26-2015-tt-btc-huong-dan-12-2015-nd-cp-thue-gia-tri-gia-tang-sua-doi-39-2014-tt-btc-267174.aspx" TargetMode="External"/><Relationship Id="rId10" Type="http://schemas.openxmlformats.org/officeDocument/2006/relationships/hyperlink" Target="https://thuvienphapluat.vn/van-ban/thue-phi-le-phi/nghi-dinh-51-2010-nd-cp-hoa-don-ban-hang-hoa-cung-ung-dich-vu-105694.aspx" TargetMode="External"/><Relationship Id="rId4" Type="http://schemas.openxmlformats.org/officeDocument/2006/relationships/hyperlink" Target="https://thuvienphapluat.vn/van-ban/thuong-mai/thong-tu-39-2014-tt-btc-huong-dan-51-2010-nd-cp-04-2014-nd-cp-hoa-don-ban-hang-hoa-dich-vu-229190.aspx" TargetMode="External"/><Relationship Id="rId9" Type="http://schemas.openxmlformats.org/officeDocument/2006/relationships/hyperlink" Target="https://thuvienphapluat.vn/van-ban/thuong-mai/thong-tu-39-2014-tt-btc-huong-dan-51-2010-nd-cp-04-2014-nd-cp-hoa-don-ban-hang-hoa-dich-vu-22919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835</Words>
  <Characters>4762</Characters>
  <Application>Microsoft Office Word</Application>
  <DocSecurity>0</DocSecurity>
  <Lines>39</Lines>
  <Paragraphs>11</Paragraphs>
  <ScaleCrop>false</ScaleCrop>
  <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hangntn1112@gmail.com</dc:creator>
  <cp:keywords/>
  <dc:description/>
  <cp:lastModifiedBy>hangntn1112@gmail.com</cp:lastModifiedBy>
  <cp:revision>6</cp:revision>
  <dcterms:created xsi:type="dcterms:W3CDTF">2019-10-01T02:37:00Z</dcterms:created>
  <dcterms:modified xsi:type="dcterms:W3CDTF">2019-10-01T02:57:00Z</dcterms:modified>
</cp:coreProperties>
</file>