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F22D4" w:rsidTr="00FF22D4">
        <w:trPr>
          <w:tblCellSpacing w:w="0" w:type="dxa"/>
        </w:trPr>
        <w:tc>
          <w:tcPr>
            <w:tcW w:w="3348" w:type="dxa"/>
            <w:shd w:val="clear" w:color="auto" w:fill="FFFFFF"/>
            <w:tcMar>
              <w:top w:w="0" w:type="dxa"/>
              <w:left w:w="108" w:type="dxa"/>
              <w:bottom w:w="0" w:type="dxa"/>
              <w:right w:w="108" w:type="dxa"/>
            </w:tcMar>
            <w:hideMark/>
          </w:tcPr>
          <w:p w:rsidR="00FF22D4" w:rsidRDefault="00FF22D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TỔNG CỤC THUẾ</w:t>
            </w:r>
            <w:r>
              <w:rPr>
                <w:rFonts w:ascii="Arial" w:hAnsi="Arial" w:cs="Arial"/>
                <w:color w:val="000000"/>
                <w:sz w:val="18"/>
                <w:szCs w:val="18"/>
              </w:rPr>
              <w:br/>
            </w:r>
            <w:r>
              <w:rPr>
                <w:rFonts w:ascii="Arial" w:hAnsi="Arial" w:cs="Arial"/>
                <w:b/>
                <w:bCs/>
                <w:color w:val="000000"/>
                <w:sz w:val="18"/>
                <w:szCs w:val="18"/>
                <w:lang w:val="vi-VN"/>
              </w:rPr>
              <w:t>CỤC THUẾ TP HỒ CHÍ MINH</w:t>
            </w:r>
            <w:r>
              <w:rPr>
                <w:rFonts w:ascii="Arial"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F22D4" w:rsidRDefault="00FF22D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FF22D4" w:rsidTr="00FF22D4">
        <w:trPr>
          <w:tblCellSpacing w:w="0" w:type="dxa"/>
        </w:trPr>
        <w:tc>
          <w:tcPr>
            <w:tcW w:w="3348" w:type="dxa"/>
            <w:shd w:val="clear" w:color="auto" w:fill="FFFFFF"/>
            <w:tcMar>
              <w:top w:w="0" w:type="dxa"/>
              <w:left w:w="108" w:type="dxa"/>
              <w:bottom w:w="0" w:type="dxa"/>
              <w:right w:w="108" w:type="dxa"/>
            </w:tcMar>
            <w:hideMark/>
          </w:tcPr>
          <w:p w:rsidR="00FF22D4" w:rsidRDefault="00FF22D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Số: </w:t>
            </w:r>
            <w:r>
              <w:rPr>
                <w:rFonts w:ascii="Arial" w:hAnsi="Arial" w:cs="Arial"/>
                <w:color w:val="000000"/>
                <w:sz w:val="18"/>
                <w:szCs w:val="18"/>
              </w:rPr>
              <w:t>5770</w:t>
            </w:r>
            <w:r>
              <w:rPr>
                <w:rFonts w:ascii="Arial" w:hAnsi="Arial" w:cs="Arial"/>
                <w:color w:val="000000"/>
                <w:sz w:val="18"/>
                <w:szCs w:val="18"/>
                <w:lang w:val="vi-VN"/>
              </w:rPr>
              <w:t>/CT-TTHT</w:t>
            </w:r>
            <w:r>
              <w:rPr>
                <w:rFonts w:ascii="Arial" w:hAnsi="Arial" w:cs="Arial"/>
                <w:color w:val="000000"/>
                <w:sz w:val="18"/>
                <w:szCs w:val="18"/>
              </w:rPr>
              <w:br/>
            </w:r>
            <w:r>
              <w:rPr>
                <w:rFonts w:ascii="Arial" w:hAnsi="Arial" w:cs="Arial"/>
                <w:i/>
                <w:iCs/>
                <w:color w:val="000000"/>
                <w:sz w:val="16"/>
                <w:szCs w:val="16"/>
                <w:lang w:val="vi-VN"/>
              </w:rPr>
              <w:t>V/v: hóa đơn</w:t>
            </w:r>
          </w:p>
        </w:tc>
        <w:tc>
          <w:tcPr>
            <w:tcW w:w="5508" w:type="dxa"/>
            <w:shd w:val="clear" w:color="auto" w:fill="FFFFFF"/>
            <w:tcMar>
              <w:top w:w="0" w:type="dxa"/>
              <w:left w:w="108" w:type="dxa"/>
              <w:bottom w:w="0" w:type="dxa"/>
              <w:right w:w="108" w:type="dxa"/>
            </w:tcMar>
            <w:hideMark/>
          </w:tcPr>
          <w:p w:rsidR="00FF22D4" w:rsidRDefault="00FF22D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Thành ph</w:t>
            </w:r>
            <w:r>
              <w:rPr>
                <w:rFonts w:ascii="Arial" w:hAnsi="Arial" w:cs="Arial"/>
                <w:i/>
                <w:iCs/>
                <w:color w:val="000000"/>
                <w:sz w:val="18"/>
                <w:szCs w:val="18"/>
              </w:rPr>
              <w:t>ố </w:t>
            </w:r>
            <w:r>
              <w:rPr>
                <w:rFonts w:ascii="Arial" w:hAnsi="Arial" w:cs="Arial"/>
                <w:i/>
                <w:iCs/>
                <w:color w:val="000000"/>
                <w:sz w:val="18"/>
                <w:szCs w:val="18"/>
                <w:lang w:val="vi-VN"/>
              </w:rPr>
              <w:t>Hồ Ch</w:t>
            </w:r>
            <w:r>
              <w:rPr>
                <w:rFonts w:ascii="Arial" w:hAnsi="Arial" w:cs="Arial"/>
                <w:i/>
                <w:iCs/>
                <w:color w:val="000000"/>
                <w:sz w:val="18"/>
                <w:szCs w:val="18"/>
              </w:rPr>
              <w:t>í</w:t>
            </w:r>
            <w:r>
              <w:rPr>
                <w:rFonts w:ascii="Arial" w:hAnsi="Arial" w:cs="Arial"/>
                <w:i/>
                <w:iCs/>
                <w:color w:val="000000"/>
                <w:sz w:val="18"/>
                <w:szCs w:val="18"/>
                <w:lang w:val="vi-VN"/>
              </w:rPr>
              <w:t> Minh, ngày</w:t>
            </w:r>
            <w:r>
              <w:rPr>
                <w:rFonts w:ascii="Arial" w:hAnsi="Arial" w:cs="Arial"/>
                <w:i/>
                <w:iCs/>
                <w:color w:val="000000"/>
                <w:sz w:val="18"/>
                <w:szCs w:val="18"/>
              </w:rPr>
              <w:t> 10</w:t>
            </w:r>
            <w:r>
              <w:rPr>
                <w:rFonts w:ascii="Arial" w:hAnsi="Arial" w:cs="Arial"/>
                <w:i/>
                <w:iCs/>
                <w:color w:val="000000"/>
                <w:sz w:val="18"/>
                <w:szCs w:val="18"/>
                <w:lang w:val="vi-VN"/>
              </w:rPr>
              <w:t> th</w:t>
            </w:r>
            <w:r>
              <w:rPr>
                <w:rFonts w:ascii="Arial" w:hAnsi="Arial" w:cs="Arial"/>
                <w:i/>
                <w:iCs/>
                <w:color w:val="000000"/>
                <w:sz w:val="18"/>
                <w:szCs w:val="18"/>
              </w:rPr>
              <w:t>á</w:t>
            </w:r>
            <w:r>
              <w:rPr>
                <w:rFonts w:ascii="Arial" w:hAnsi="Arial" w:cs="Arial"/>
                <w:i/>
                <w:iCs/>
                <w:color w:val="000000"/>
                <w:sz w:val="18"/>
                <w:szCs w:val="18"/>
                <w:lang w:val="vi-VN"/>
              </w:rPr>
              <w:t>ng </w:t>
            </w:r>
            <w:r>
              <w:rPr>
                <w:rFonts w:ascii="Arial" w:hAnsi="Arial" w:cs="Arial"/>
                <w:i/>
                <w:iCs/>
                <w:color w:val="000000"/>
                <w:sz w:val="18"/>
                <w:szCs w:val="18"/>
              </w:rPr>
              <w:t>6 năm</w:t>
            </w:r>
            <w:r>
              <w:rPr>
                <w:rFonts w:ascii="Arial" w:hAnsi="Arial" w:cs="Arial"/>
                <w:i/>
                <w:iCs/>
                <w:color w:val="000000"/>
                <w:sz w:val="18"/>
                <w:szCs w:val="18"/>
                <w:lang w:val="vi-VN"/>
              </w:rPr>
              <w:t> 20</w:t>
            </w:r>
            <w:r>
              <w:rPr>
                <w:rFonts w:ascii="Arial" w:hAnsi="Arial" w:cs="Arial"/>
                <w:i/>
                <w:iCs/>
                <w:color w:val="000000"/>
                <w:sz w:val="18"/>
                <w:szCs w:val="18"/>
              </w:rPr>
              <w:t>1</w:t>
            </w:r>
            <w:r>
              <w:rPr>
                <w:rFonts w:ascii="Arial" w:hAnsi="Arial" w:cs="Arial"/>
                <w:i/>
                <w:iCs/>
                <w:color w:val="000000"/>
                <w:sz w:val="18"/>
                <w:szCs w:val="18"/>
                <w:lang w:val="vi-VN"/>
              </w:rPr>
              <w:t>9</w:t>
            </w:r>
          </w:p>
        </w:tc>
      </w:tr>
    </w:tbl>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F22D4" w:rsidRDefault="00FF22D4" w:rsidP="00FF22D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Kính gửi:</w:t>
      </w:r>
      <w:r>
        <w:rPr>
          <w:rFonts w:ascii="Arial" w:hAnsi="Arial" w:cs="Arial"/>
          <w:color w:val="000000"/>
          <w:sz w:val="18"/>
          <w:szCs w:val="18"/>
          <w:lang w:val="vi-VN"/>
        </w:rPr>
        <w:t> Công ty Cổ phần Bảo Việt Phát</w:t>
      </w:r>
      <w:r>
        <w:rPr>
          <w:rFonts w:ascii="Arial" w:hAnsi="Arial" w:cs="Arial"/>
          <w:color w:val="000000"/>
          <w:sz w:val="18"/>
          <w:szCs w:val="18"/>
        </w:rPr>
        <w:br/>
      </w:r>
      <w:r>
        <w:rPr>
          <w:rFonts w:ascii="Arial" w:hAnsi="Arial" w:cs="Arial"/>
          <w:color w:val="000000"/>
          <w:sz w:val="18"/>
          <w:szCs w:val="18"/>
          <w:lang w:val="vi-VN"/>
        </w:rPr>
        <w:t>Địa chỉ: 171 Tôn Thất Hiệp, Phường 12, Quận 11, TP.HCM</w:t>
      </w:r>
      <w:r>
        <w:rPr>
          <w:rFonts w:ascii="Arial" w:hAnsi="Arial" w:cs="Arial"/>
          <w:color w:val="000000"/>
          <w:sz w:val="18"/>
          <w:szCs w:val="18"/>
        </w:rPr>
        <w:br/>
      </w:r>
      <w:r>
        <w:rPr>
          <w:rFonts w:ascii="Arial" w:hAnsi="Arial" w:cs="Arial"/>
          <w:color w:val="000000"/>
          <w:sz w:val="18"/>
          <w:szCs w:val="18"/>
          <w:lang w:val="vi-VN"/>
        </w:rPr>
        <w:t>Mã số thuế: 0313992264</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Trả lời văn bản ngày 16/02/2019 của Công ty về hóa đ</w:t>
      </w:r>
      <w:r>
        <w:rPr>
          <w:rFonts w:ascii="Arial" w:hAnsi="Arial" w:cs="Arial"/>
          <w:color w:val="000000"/>
          <w:sz w:val="18"/>
          <w:szCs w:val="18"/>
        </w:rPr>
        <w:t>ơ</w:t>
      </w:r>
      <w:r>
        <w:rPr>
          <w:rFonts w:ascii="Arial" w:hAnsi="Arial" w:cs="Arial"/>
          <w:color w:val="000000"/>
          <w:sz w:val="18"/>
          <w:szCs w:val="18"/>
          <w:lang w:val="vi-VN"/>
        </w:rPr>
        <w:t>n; Cục Thuế TP có ý kiến như sau:</w:t>
      </w:r>
    </w:p>
    <w:p w:rsidR="00FF22D4" w:rsidRDefault="00FF22D4" w:rsidP="00FF22D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Căn cứ Khoản 22 Điều 7 Thông tư số </w:t>
      </w:r>
      <w:hyperlink r:id="rId4" w:tgtFrame="_blank" w:tooltip="Thông tư 219/2013/TT-BTC" w:history="1">
        <w:r>
          <w:rPr>
            <w:rStyle w:val="Hyperlink"/>
            <w:rFonts w:ascii="Arial" w:hAnsi="Arial" w:cs="Arial"/>
            <w:color w:val="0E70C3"/>
            <w:sz w:val="18"/>
            <w:szCs w:val="18"/>
            <w:u w:val="none"/>
            <w:lang w:val="vi-VN"/>
          </w:rPr>
          <w:t>219/2013/TT-BTC</w:t>
        </w:r>
      </w:hyperlink>
      <w:r>
        <w:rPr>
          <w:rFonts w:ascii="Arial" w:hAnsi="Arial" w:cs="Arial"/>
          <w:color w:val="000000"/>
          <w:sz w:val="18"/>
          <w:szCs w:val="18"/>
          <w:lang w:val="vi-VN"/>
        </w:rPr>
        <w:t> ngày 31/12/2013 của Bộ Tài chính hướng dẫn về thuế giá trị gia tăng (GTGT):</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“22. Giá tính thuế đối với các loại hàng hóa, dịch vụ quy định từ khoản 1 đến khoản 21 Điều này bao gồm cả khoản phụ thu và phí thu thêm ngoài giá hàng hóa, dịch vụ mà cơ sở kinh doanh được hưởng.</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cơ sở kinh doanh áp dụng hình thức chiết khấu thương mại dành cho khách hàng (nếu có) thì giá tính thuế GTGT </w:t>
      </w:r>
      <w:r>
        <w:rPr>
          <w:rFonts w:ascii="Arial" w:hAnsi="Arial" w:cs="Arial"/>
          <w:color w:val="000000"/>
          <w:sz w:val="18"/>
          <w:szCs w:val="18"/>
        </w:rPr>
        <w:t>l</w:t>
      </w:r>
      <w:r>
        <w:rPr>
          <w:rFonts w:ascii="Arial" w:hAnsi="Arial" w:cs="Arial"/>
          <w:color w:val="000000"/>
          <w:sz w:val="18"/>
          <w:szCs w:val="18"/>
          <w:lang w:val="vi-VN"/>
        </w:rPr>
        <w:t>à giá bán đã chiết khấu thương mại dành cho khách hàng. Trường hợp việc chiết khấu thương mại căn cứ vào số lượng, doanh số hàng h</w:t>
      </w:r>
      <w:r>
        <w:rPr>
          <w:rFonts w:ascii="Arial" w:hAnsi="Arial" w:cs="Arial"/>
          <w:color w:val="000000"/>
          <w:sz w:val="18"/>
          <w:szCs w:val="18"/>
        </w:rPr>
        <w:t>óa</w:t>
      </w:r>
      <w:r>
        <w:rPr>
          <w:rFonts w:ascii="Arial" w:hAnsi="Arial" w:cs="Arial"/>
          <w:color w:val="000000"/>
          <w:sz w:val="18"/>
          <w:szCs w:val="18"/>
          <w:lang w:val="vi-VN"/>
        </w:rPr>
        <w:t>, dịch vụ thì số tiền chiết khấu của hàng h</w:t>
      </w:r>
      <w:r>
        <w:rPr>
          <w:rFonts w:ascii="Arial" w:hAnsi="Arial" w:cs="Arial"/>
          <w:color w:val="000000"/>
          <w:sz w:val="18"/>
          <w:szCs w:val="18"/>
        </w:rPr>
        <w:t>óa </w:t>
      </w:r>
      <w:r>
        <w:rPr>
          <w:rFonts w:ascii="Arial" w:hAnsi="Arial" w:cs="Arial"/>
          <w:color w:val="000000"/>
          <w:sz w:val="18"/>
          <w:szCs w:val="18"/>
          <w:lang w:val="vi-VN"/>
        </w:rPr>
        <w:t>đã bán được tính điều chỉnh trên h</w:t>
      </w:r>
      <w:r>
        <w:rPr>
          <w:rFonts w:ascii="Arial" w:hAnsi="Arial" w:cs="Arial"/>
          <w:color w:val="000000"/>
          <w:sz w:val="18"/>
          <w:szCs w:val="18"/>
        </w:rPr>
        <w:t>óa</w:t>
      </w:r>
      <w:r>
        <w:rPr>
          <w:rFonts w:ascii="Arial" w:hAnsi="Arial" w:cs="Arial"/>
          <w:color w:val="000000"/>
          <w:sz w:val="18"/>
          <w:szCs w:val="18"/>
          <w:lang w:val="vi-VN"/>
        </w:rPr>
        <w:t> đơn bán hàng h</w:t>
      </w:r>
      <w:r>
        <w:rPr>
          <w:rFonts w:ascii="Arial" w:hAnsi="Arial" w:cs="Arial"/>
          <w:color w:val="000000"/>
          <w:sz w:val="18"/>
          <w:szCs w:val="18"/>
        </w:rPr>
        <w:t>óa</w:t>
      </w:r>
      <w:r>
        <w:rPr>
          <w:rFonts w:ascii="Arial" w:hAnsi="Arial" w:cs="Arial"/>
          <w:color w:val="000000"/>
          <w:sz w:val="18"/>
          <w:szCs w:val="18"/>
          <w:lang w:val="vi-VN"/>
        </w:rPr>
        <w:t>, dịch vụ của lần mua cuối cùng hoặc kỳ tiếp sau. Trường hợp số tiền chiết khấu được lập khi kết thúc chương trình (kỳ) chiết khấu hàng bán thì được lập h</w:t>
      </w:r>
      <w:r>
        <w:rPr>
          <w:rFonts w:ascii="Arial" w:hAnsi="Arial" w:cs="Arial"/>
          <w:color w:val="000000"/>
          <w:sz w:val="18"/>
          <w:szCs w:val="18"/>
        </w:rPr>
        <w:t>óa </w:t>
      </w:r>
      <w:r>
        <w:rPr>
          <w:rFonts w:ascii="Arial" w:hAnsi="Arial" w:cs="Arial"/>
          <w:color w:val="000000"/>
          <w:sz w:val="18"/>
          <w:szCs w:val="18"/>
          <w:lang w:val="vi-VN"/>
        </w:rPr>
        <w:t>đơn điều chỉnh kèm bảng kê các số h</w:t>
      </w:r>
      <w:r>
        <w:rPr>
          <w:rFonts w:ascii="Arial" w:hAnsi="Arial" w:cs="Arial"/>
          <w:color w:val="000000"/>
          <w:sz w:val="18"/>
          <w:szCs w:val="18"/>
        </w:rPr>
        <w:t>óa </w:t>
      </w:r>
      <w:r>
        <w:rPr>
          <w:rFonts w:ascii="Arial" w:hAnsi="Arial" w:cs="Arial"/>
          <w:color w:val="000000"/>
          <w:sz w:val="18"/>
          <w:szCs w:val="18"/>
          <w:lang w:val="vi-VN"/>
        </w:rPr>
        <w:t>đơn cần điều chỉnh, số tiền, tiền thuế điều chỉnh. Căn cứ vào h</w:t>
      </w:r>
      <w:r>
        <w:rPr>
          <w:rFonts w:ascii="Arial" w:hAnsi="Arial" w:cs="Arial"/>
          <w:color w:val="000000"/>
          <w:sz w:val="18"/>
          <w:szCs w:val="18"/>
        </w:rPr>
        <w:t>óa </w:t>
      </w:r>
      <w:r>
        <w:rPr>
          <w:rFonts w:ascii="Arial" w:hAnsi="Arial" w:cs="Arial"/>
          <w:color w:val="000000"/>
          <w:sz w:val="18"/>
          <w:szCs w:val="18"/>
          <w:lang w:val="vi-VN"/>
        </w:rPr>
        <w:t>đơn điều chỉnh, bên bán và bên mua kê khai đi</w:t>
      </w:r>
      <w:r>
        <w:rPr>
          <w:rFonts w:ascii="Arial" w:hAnsi="Arial" w:cs="Arial"/>
          <w:color w:val="000000"/>
          <w:sz w:val="18"/>
          <w:szCs w:val="18"/>
        </w:rPr>
        <w:t>ề</w:t>
      </w:r>
      <w:r>
        <w:rPr>
          <w:rFonts w:ascii="Arial" w:hAnsi="Arial" w:cs="Arial"/>
          <w:color w:val="000000"/>
          <w:sz w:val="18"/>
          <w:szCs w:val="18"/>
          <w:lang w:val="vi-VN"/>
        </w:rPr>
        <w:t>u chỉnh doanh thu mua, bán, thuế đầu ra, đầu vào.</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w:t>
      </w:r>
      <w:r>
        <w:rPr>
          <w:rFonts w:ascii="Arial" w:hAnsi="Arial" w:cs="Arial"/>
          <w:color w:val="000000"/>
          <w:sz w:val="18"/>
          <w:szCs w:val="18"/>
        </w:rPr>
        <w:t>ố </w:t>
      </w:r>
      <w:r>
        <w:rPr>
          <w:rFonts w:ascii="Arial" w:hAnsi="Arial" w:cs="Arial"/>
          <w:color w:val="000000"/>
          <w:sz w:val="18"/>
          <w:szCs w:val="18"/>
          <w:lang w:val="vi-VN"/>
        </w:rPr>
        <w:t>tại thời điểm phát sinh doanh thu để xác định giá tính thuế.”</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w:t>
      </w:r>
      <w:r>
        <w:rPr>
          <w:rFonts w:ascii="Arial" w:hAnsi="Arial" w:cs="Arial"/>
          <w:color w:val="000000"/>
          <w:sz w:val="18"/>
          <w:szCs w:val="18"/>
        </w:rPr>
        <w:t>ợ</w:t>
      </w:r>
      <w:r>
        <w:rPr>
          <w:rFonts w:ascii="Arial" w:hAnsi="Arial" w:cs="Arial"/>
          <w:color w:val="000000"/>
          <w:sz w:val="18"/>
          <w:szCs w:val="18"/>
          <w:lang w:val="vi-VN"/>
        </w:rPr>
        <w:t>p Công ty ký hợp đồng bán than cám cho khách hàng có thỏa thuận chiết khấu thanh toán do bên mua tạm ứng trước tiền mua hàng (không phải là khoản chiết khấu thương mại) nên không được ghi giảm giá trên h</w:t>
      </w:r>
      <w:r>
        <w:rPr>
          <w:rFonts w:ascii="Arial" w:hAnsi="Arial" w:cs="Arial"/>
          <w:color w:val="000000"/>
          <w:sz w:val="18"/>
          <w:szCs w:val="18"/>
        </w:rPr>
        <w:t>óa </w:t>
      </w:r>
      <w:r>
        <w:rPr>
          <w:rFonts w:ascii="Arial" w:hAnsi="Arial" w:cs="Arial"/>
          <w:color w:val="000000"/>
          <w:sz w:val="18"/>
          <w:szCs w:val="18"/>
          <w:lang w:val="vi-VN"/>
        </w:rPr>
        <w:t>đơn bán hàng, và việc Công ty lập hóa đơn điều chỉnh giảm là không phù hợp với quy định.</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Cục Thuế TP thông báo Công ty biết để thực hiện theo đúng quy định tại các văn bản quy phạm pháp luật đã được trích </w:t>
      </w:r>
      <w:r>
        <w:rPr>
          <w:rFonts w:ascii="Arial" w:hAnsi="Arial" w:cs="Arial"/>
          <w:color w:val="000000"/>
          <w:sz w:val="18"/>
          <w:szCs w:val="18"/>
        </w:rPr>
        <w:t>d</w:t>
      </w:r>
      <w:r>
        <w:rPr>
          <w:rFonts w:ascii="Arial" w:hAnsi="Arial" w:cs="Arial"/>
          <w:color w:val="000000"/>
          <w:sz w:val="18"/>
          <w:szCs w:val="18"/>
          <w:lang w:val="vi-VN"/>
        </w:rPr>
        <w:t>ẫn tại văn bản này.</w:t>
      </w:r>
    </w:p>
    <w:p w:rsidR="00FF22D4" w:rsidRDefault="00FF22D4" w:rsidP="00FF22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22D4" w:rsidTr="00FF22D4">
        <w:trPr>
          <w:tblCellSpacing w:w="0" w:type="dxa"/>
        </w:trPr>
        <w:tc>
          <w:tcPr>
            <w:tcW w:w="4428" w:type="dxa"/>
            <w:shd w:val="clear" w:color="auto" w:fill="FFFFFF"/>
            <w:tcMar>
              <w:top w:w="0" w:type="dxa"/>
              <w:left w:w="108" w:type="dxa"/>
              <w:bottom w:w="0" w:type="dxa"/>
              <w:right w:w="108" w:type="dxa"/>
            </w:tcMar>
            <w:hideMark/>
          </w:tcPr>
          <w:p w:rsidR="00FF22D4" w:rsidRDefault="00FF22D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br/>
            </w:r>
            <w:r>
              <w:rPr>
                <w:rFonts w:ascii="Arial" w:hAnsi="Arial" w:cs="Arial"/>
                <w:b/>
                <w:bCs/>
                <w:i/>
                <w:iCs/>
                <w:color w:val="000000"/>
                <w:sz w:val="18"/>
                <w:szCs w:val="18"/>
                <w:lang w:val="vi-VN"/>
              </w:rPr>
              <w:t>Nơi nhận:</w:t>
            </w:r>
            <w:r>
              <w:rPr>
                <w:rFonts w:ascii="Arial" w:hAnsi="Arial" w:cs="Arial"/>
                <w:b/>
                <w:bCs/>
                <w:i/>
                <w:iCs/>
                <w:color w:val="000000"/>
                <w:sz w:val="18"/>
                <w:szCs w:val="18"/>
                <w:lang w:val="vi-VN"/>
              </w:rPr>
              <w:br/>
            </w:r>
            <w:r>
              <w:rPr>
                <w:rFonts w:ascii="Arial" w:hAnsi="Arial" w:cs="Arial"/>
                <w:color w:val="000000"/>
                <w:sz w:val="16"/>
                <w:szCs w:val="16"/>
                <w:lang w:val="vi-VN"/>
              </w:rPr>
              <w:t>- Như tr</w:t>
            </w:r>
            <w:r>
              <w:rPr>
                <w:rFonts w:ascii="Arial" w:hAnsi="Arial" w:cs="Arial"/>
                <w:color w:val="000000"/>
                <w:sz w:val="16"/>
                <w:szCs w:val="16"/>
              </w:rPr>
              <w:t>ê</w:t>
            </w:r>
            <w:r>
              <w:rPr>
                <w:rFonts w:ascii="Arial" w:hAnsi="Arial" w:cs="Arial"/>
                <w:color w:val="000000"/>
                <w:sz w:val="16"/>
                <w:szCs w:val="16"/>
                <w:lang w:val="vi-VN"/>
              </w:rPr>
              <w:t>n;</w:t>
            </w:r>
            <w:r>
              <w:rPr>
                <w:rFonts w:ascii="Arial" w:hAnsi="Arial" w:cs="Arial"/>
                <w:color w:val="000000"/>
                <w:sz w:val="16"/>
                <w:szCs w:val="16"/>
                <w:lang w:val="vi-VN"/>
              </w:rPr>
              <w:br/>
              <w:t>- P.KT4;</w:t>
            </w:r>
            <w:r>
              <w:rPr>
                <w:rFonts w:ascii="Arial" w:hAnsi="Arial" w:cs="Arial"/>
                <w:color w:val="000000"/>
                <w:sz w:val="16"/>
                <w:szCs w:val="16"/>
                <w:lang w:val="vi-VN"/>
              </w:rPr>
              <w:br/>
              <w:t>- P.PC;</w:t>
            </w:r>
            <w:r>
              <w:rPr>
                <w:rFonts w:ascii="Arial" w:hAnsi="Arial" w:cs="Arial"/>
                <w:color w:val="000000"/>
                <w:sz w:val="16"/>
                <w:szCs w:val="16"/>
                <w:lang w:val="vi-VN"/>
              </w:rPr>
              <w:br/>
              <w:t>- Lưu VT; TTHT.</w:t>
            </w:r>
            <w:r>
              <w:rPr>
                <w:rFonts w:ascii="Arial" w:hAnsi="Arial" w:cs="Arial"/>
                <w:color w:val="000000"/>
                <w:sz w:val="16"/>
                <w:szCs w:val="16"/>
                <w:lang w:val="vi-VN"/>
              </w:rPr>
              <w:br/>
              <w:t>258-2644721/</w:t>
            </w:r>
            <w:r>
              <w:rPr>
                <w:rFonts w:ascii="Arial" w:hAnsi="Arial" w:cs="Arial"/>
                <w:color w:val="000000"/>
                <w:sz w:val="16"/>
                <w:szCs w:val="16"/>
              </w:rPr>
              <w:t>n</w:t>
            </w:r>
            <w:r>
              <w:rPr>
                <w:rFonts w:ascii="Arial" w:hAnsi="Arial" w:cs="Arial"/>
                <w:color w:val="000000"/>
                <w:sz w:val="16"/>
                <w:szCs w:val="16"/>
                <w:lang w:val="vi-VN"/>
              </w:rPr>
              <w:t>tn</w:t>
            </w:r>
          </w:p>
        </w:tc>
        <w:tc>
          <w:tcPr>
            <w:tcW w:w="4428" w:type="dxa"/>
            <w:shd w:val="clear" w:color="auto" w:fill="FFFFFF"/>
            <w:tcMar>
              <w:top w:w="0" w:type="dxa"/>
              <w:left w:w="108" w:type="dxa"/>
              <w:bottom w:w="0" w:type="dxa"/>
              <w:right w:w="108" w:type="dxa"/>
            </w:tcMar>
            <w:hideMark/>
          </w:tcPr>
          <w:p w:rsidR="00FF22D4" w:rsidRDefault="00FF22D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CỤC TRƯỞNG</w:t>
            </w:r>
            <w:r>
              <w:rPr>
                <w:rFonts w:ascii="Arial" w:hAnsi="Arial" w:cs="Arial"/>
                <w:b/>
                <w:bCs/>
                <w:color w:val="000000"/>
                <w:sz w:val="18"/>
                <w:szCs w:val="18"/>
              </w:rPr>
              <w:br/>
              <w:t>PHÓ CỤC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Nam Bình</w:t>
            </w:r>
          </w:p>
        </w:tc>
      </w:tr>
    </w:tbl>
    <w:p w:rsidR="00F078D6" w:rsidRPr="00FF22D4" w:rsidRDefault="00FF22D4" w:rsidP="00FF22D4">
      <w:bookmarkStart w:id="0" w:name="_GoBack"/>
      <w:bookmarkEnd w:id="0"/>
    </w:p>
    <w:sectPr w:rsidR="00F078D6" w:rsidRPr="00FF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2D23AC"/>
    <w:rsid w:val="004139F5"/>
    <w:rsid w:val="00461F3A"/>
    <w:rsid w:val="004800EA"/>
    <w:rsid w:val="008C5E0D"/>
    <w:rsid w:val="00A87549"/>
    <w:rsid w:val="00AB6E5C"/>
    <w:rsid w:val="00AD03B7"/>
    <w:rsid w:val="00B478CE"/>
    <w:rsid w:val="00B60C62"/>
    <w:rsid w:val="00D207AD"/>
    <w:rsid w:val="00D416A4"/>
    <w:rsid w:val="00D4183F"/>
    <w:rsid w:val="00DA1D83"/>
    <w:rsid w:val="00DE2215"/>
    <w:rsid w:val="00E60CA9"/>
    <w:rsid w:val="00E71BBE"/>
    <w:rsid w:val="00FF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255">
      <w:bodyDiv w:val="1"/>
      <w:marLeft w:val="0"/>
      <w:marRight w:val="0"/>
      <w:marTop w:val="0"/>
      <w:marBottom w:val="0"/>
      <w:divBdr>
        <w:top w:val="none" w:sz="0" w:space="0" w:color="auto"/>
        <w:left w:val="none" w:sz="0" w:space="0" w:color="auto"/>
        <w:bottom w:val="none" w:sz="0" w:space="0" w:color="auto"/>
        <w:right w:val="none" w:sz="0" w:space="0" w:color="auto"/>
      </w:divBdr>
    </w:div>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343171309">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447360255">
      <w:bodyDiv w:val="1"/>
      <w:marLeft w:val="0"/>
      <w:marRight w:val="0"/>
      <w:marTop w:val="0"/>
      <w:marBottom w:val="0"/>
      <w:divBdr>
        <w:top w:val="none" w:sz="0" w:space="0" w:color="auto"/>
        <w:left w:val="none" w:sz="0" w:space="0" w:color="auto"/>
        <w:bottom w:val="none" w:sz="0" w:space="0" w:color="auto"/>
        <w:right w:val="none" w:sz="0" w:space="0" w:color="auto"/>
      </w:divBdr>
    </w:div>
    <w:div w:id="512308692">
      <w:bodyDiv w:val="1"/>
      <w:marLeft w:val="0"/>
      <w:marRight w:val="0"/>
      <w:marTop w:val="0"/>
      <w:marBottom w:val="0"/>
      <w:divBdr>
        <w:top w:val="none" w:sz="0" w:space="0" w:color="auto"/>
        <w:left w:val="none" w:sz="0" w:space="0" w:color="auto"/>
        <w:bottom w:val="none" w:sz="0" w:space="0" w:color="auto"/>
        <w:right w:val="none" w:sz="0" w:space="0" w:color="auto"/>
      </w:divBdr>
    </w:div>
    <w:div w:id="662199738">
      <w:bodyDiv w:val="1"/>
      <w:marLeft w:val="0"/>
      <w:marRight w:val="0"/>
      <w:marTop w:val="0"/>
      <w:marBottom w:val="0"/>
      <w:divBdr>
        <w:top w:val="none" w:sz="0" w:space="0" w:color="auto"/>
        <w:left w:val="none" w:sz="0" w:space="0" w:color="auto"/>
        <w:bottom w:val="none" w:sz="0" w:space="0" w:color="auto"/>
        <w:right w:val="none" w:sz="0" w:space="0" w:color="auto"/>
      </w:divBdr>
    </w:div>
    <w:div w:id="1143035599">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467434547">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thong-tu-219-2013-tt-btc-huong-dan-luat-thue-gia-tri-gia-tang-va-nghi-dinh-209-2013-nd-cp-2207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16</cp:revision>
  <dcterms:created xsi:type="dcterms:W3CDTF">2019-09-25T07:41:00Z</dcterms:created>
  <dcterms:modified xsi:type="dcterms:W3CDTF">2019-10-01T02:32:00Z</dcterms:modified>
</cp:coreProperties>
</file>