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top w:val="nil"/>
          <w:bottom w:val="nil"/>
          <w:insideH w:val="nil"/>
          <w:insideV w:val="nil"/>
        </w:tblBorders>
        <w:tblCellMar>
          <w:left w:w="0" w:type="dxa"/>
          <w:right w:w="0" w:type="dxa"/>
        </w:tblCellMar>
        <w:tblLook w:val="04A0"/>
      </w:tblPr>
      <w:tblGrid>
        <w:gridCol w:w="3168"/>
        <w:gridCol w:w="5580"/>
      </w:tblGrid>
      <w:tr w:rsidR="00B82438" w:rsidRPr="0011322F" w:rsidTr="002B6B9C">
        <w:trPr>
          <w:trHeight w:val="1271"/>
        </w:trPr>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B82438" w:rsidRPr="0011322F" w:rsidRDefault="00B82438" w:rsidP="002B6B9C">
            <w:pPr>
              <w:spacing w:before="120"/>
              <w:jc w:val="center"/>
              <w:rPr>
                <w:rFonts w:eastAsia="Calibri"/>
                <w:sz w:val="24"/>
                <w:szCs w:val="24"/>
              </w:rPr>
            </w:pPr>
            <w:r w:rsidRPr="0011322F">
              <w:rPr>
                <w:rFonts w:eastAsia="Calibri"/>
                <w:sz w:val="24"/>
                <w:szCs w:val="24"/>
              </w:rPr>
              <w:t>BỘ TÀI CHÍNH</w:t>
            </w:r>
            <w:r w:rsidRPr="0011322F">
              <w:rPr>
                <w:rFonts w:eastAsia="Calibri"/>
                <w:b/>
                <w:bCs/>
                <w:sz w:val="24"/>
                <w:szCs w:val="24"/>
              </w:rPr>
              <w:br/>
              <w:t>TỔNG CỤC THUẾ</w:t>
            </w:r>
            <w:r w:rsidRPr="0011322F">
              <w:rPr>
                <w:rFonts w:eastAsia="Calibri"/>
                <w:b/>
                <w:bCs/>
                <w:sz w:val="24"/>
                <w:szCs w:val="24"/>
              </w:rPr>
              <w:br/>
              <w:t>-------</w:t>
            </w:r>
          </w:p>
        </w:tc>
        <w:tc>
          <w:tcPr>
            <w:tcW w:w="5580" w:type="dxa"/>
            <w:tcBorders>
              <w:top w:val="nil"/>
              <w:left w:val="nil"/>
              <w:bottom w:val="nil"/>
              <w:right w:val="nil"/>
              <w:tl2br w:val="nil"/>
              <w:tr2bl w:val="nil"/>
            </w:tcBorders>
            <w:shd w:val="clear" w:color="auto" w:fill="auto"/>
            <w:tcMar>
              <w:top w:w="0" w:type="dxa"/>
              <w:left w:w="108" w:type="dxa"/>
              <w:bottom w:w="0" w:type="dxa"/>
              <w:right w:w="108" w:type="dxa"/>
            </w:tcMar>
          </w:tcPr>
          <w:p w:rsidR="00B82438" w:rsidRPr="0011322F" w:rsidRDefault="00B82438" w:rsidP="002B6B9C">
            <w:pPr>
              <w:spacing w:before="120"/>
              <w:jc w:val="center"/>
              <w:rPr>
                <w:rFonts w:eastAsia="Calibri"/>
                <w:sz w:val="24"/>
                <w:szCs w:val="24"/>
              </w:rPr>
            </w:pPr>
            <w:r w:rsidRPr="0011322F">
              <w:rPr>
                <w:rFonts w:eastAsia="Calibri"/>
                <w:b/>
                <w:bCs/>
                <w:sz w:val="24"/>
                <w:szCs w:val="24"/>
              </w:rPr>
              <w:t>CỘNG HÒA XÃ HỘI CHỦ NGHĨA VIỆT NAM</w:t>
            </w:r>
            <w:r w:rsidRPr="0011322F">
              <w:rPr>
                <w:rFonts w:eastAsia="Calibri"/>
                <w:b/>
                <w:bCs/>
                <w:sz w:val="24"/>
                <w:szCs w:val="24"/>
              </w:rPr>
              <w:br/>
              <w:t>Độc lập - Tự do - Hạnh phúc</w:t>
            </w:r>
            <w:r w:rsidRPr="0011322F">
              <w:rPr>
                <w:rFonts w:eastAsia="Calibri"/>
                <w:b/>
                <w:bCs/>
                <w:sz w:val="24"/>
                <w:szCs w:val="24"/>
              </w:rPr>
              <w:br/>
              <w:t>------------------</w:t>
            </w:r>
          </w:p>
        </w:tc>
      </w:tr>
      <w:tr w:rsidR="00B82438" w:rsidRPr="0011322F" w:rsidTr="002B6B9C">
        <w:tblPrEx>
          <w:tblBorders>
            <w:top w:val="none" w:sz="0" w:space="0" w:color="auto"/>
            <w:bottom w:val="none" w:sz="0" w:space="0" w:color="auto"/>
            <w:insideH w:val="none" w:sz="0" w:space="0" w:color="auto"/>
            <w:insideV w:val="none" w:sz="0" w:space="0" w:color="auto"/>
          </w:tblBorders>
        </w:tblPrEx>
        <w:trPr>
          <w:trHeight w:val="900"/>
        </w:trPr>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B82438" w:rsidRPr="0011322F" w:rsidRDefault="00B82438" w:rsidP="00B82438">
            <w:pPr>
              <w:spacing w:before="120"/>
              <w:rPr>
                <w:rFonts w:eastAsia="Calibri"/>
                <w:sz w:val="24"/>
                <w:szCs w:val="24"/>
              </w:rPr>
            </w:pPr>
            <w:r w:rsidRPr="0011322F">
              <w:rPr>
                <w:rFonts w:eastAsia="Calibri"/>
                <w:sz w:val="24"/>
                <w:szCs w:val="24"/>
              </w:rPr>
              <w:t>Số: 4</w:t>
            </w:r>
            <w:r>
              <w:rPr>
                <w:rFonts w:eastAsia="Calibri"/>
                <w:sz w:val="24"/>
                <w:szCs w:val="24"/>
              </w:rPr>
              <w:t>132</w:t>
            </w:r>
            <w:r w:rsidRPr="0011322F">
              <w:rPr>
                <w:rFonts w:eastAsia="Calibri"/>
                <w:sz w:val="24"/>
                <w:szCs w:val="24"/>
              </w:rPr>
              <w:t>/TCT-</w:t>
            </w:r>
            <w:r>
              <w:rPr>
                <w:sz w:val="24"/>
                <w:szCs w:val="24"/>
              </w:rPr>
              <w:t>KK</w:t>
            </w:r>
            <w:r w:rsidRPr="0011322F">
              <w:rPr>
                <w:rFonts w:eastAsia="Calibri"/>
                <w:sz w:val="24"/>
                <w:szCs w:val="24"/>
              </w:rPr>
              <w:br/>
            </w:r>
            <w:r w:rsidRPr="0011322F">
              <w:rPr>
                <w:rFonts w:eastAsia="Calibri"/>
                <w:iCs/>
                <w:sz w:val="24"/>
                <w:szCs w:val="24"/>
              </w:rPr>
              <w:t xml:space="preserve">V/v: </w:t>
            </w:r>
            <w:r>
              <w:rPr>
                <w:iCs/>
                <w:sz w:val="24"/>
                <w:szCs w:val="24"/>
              </w:rPr>
              <w:t>bù trừ nợ thuế, nợ phạt</w:t>
            </w:r>
          </w:p>
        </w:tc>
        <w:tc>
          <w:tcPr>
            <w:tcW w:w="5580" w:type="dxa"/>
            <w:tcBorders>
              <w:top w:val="nil"/>
              <w:left w:val="nil"/>
              <w:bottom w:val="nil"/>
              <w:right w:val="nil"/>
              <w:tl2br w:val="nil"/>
              <w:tr2bl w:val="nil"/>
            </w:tcBorders>
            <w:shd w:val="clear" w:color="auto" w:fill="auto"/>
            <w:tcMar>
              <w:top w:w="0" w:type="dxa"/>
              <w:left w:w="108" w:type="dxa"/>
              <w:bottom w:w="0" w:type="dxa"/>
              <w:right w:w="108" w:type="dxa"/>
            </w:tcMar>
          </w:tcPr>
          <w:p w:rsidR="00B82438" w:rsidRPr="0011322F" w:rsidRDefault="00B82438" w:rsidP="00B82438">
            <w:pPr>
              <w:spacing w:before="120"/>
              <w:jc w:val="center"/>
              <w:rPr>
                <w:rFonts w:eastAsia="Calibri"/>
                <w:sz w:val="24"/>
                <w:szCs w:val="24"/>
              </w:rPr>
            </w:pPr>
            <w:r w:rsidRPr="0011322F">
              <w:rPr>
                <w:rFonts w:eastAsia="Calibri"/>
                <w:i/>
                <w:iCs/>
                <w:sz w:val="24"/>
                <w:szCs w:val="24"/>
              </w:rPr>
              <w:t xml:space="preserve">Hà Nội, ngày </w:t>
            </w:r>
            <w:r>
              <w:rPr>
                <w:rFonts w:eastAsia="Calibri"/>
                <w:i/>
                <w:iCs/>
                <w:sz w:val="24"/>
                <w:szCs w:val="24"/>
              </w:rPr>
              <w:t>24</w:t>
            </w:r>
            <w:r w:rsidRPr="0011322F">
              <w:rPr>
                <w:rFonts w:eastAsia="Calibri"/>
                <w:i/>
                <w:iCs/>
                <w:sz w:val="24"/>
                <w:szCs w:val="24"/>
              </w:rPr>
              <w:t xml:space="preserve">  tháng  </w:t>
            </w:r>
            <w:r>
              <w:rPr>
                <w:i/>
                <w:iCs/>
                <w:sz w:val="24"/>
                <w:szCs w:val="24"/>
              </w:rPr>
              <w:t>10</w:t>
            </w:r>
            <w:r w:rsidRPr="0011322F">
              <w:rPr>
                <w:rFonts w:eastAsia="Calibri"/>
                <w:i/>
                <w:iCs/>
                <w:sz w:val="24"/>
                <w:szCs w:val="24"/>
              </w:rPr>
              <w:t xml:space="preserve">  năm 2018</w:t>
            </w:r>
          </w:p>
        </w:tc>
      </w:tr>
    </w:tbl>
    <w:p w:rsidR="00B82438" w:rsidRDefault="00B82438" w:rsidP="00170DC4">
      <w:pPr>
        <w:autoSpaceDE w:val="0"/>
        <w:autoSpaceDN w:val="0"/>
        <w:adjustRightInd w:val="0"/>
        <w:spacing w:after="0" w:line="240" w:lineRule="auto"/>
        <w:jc w:val="center"/>
        <w:rPr>
          <w:rFonts w:eastAsiaTheme="minorEastAsia"/>
          <w:color w:val="000000" w:themeColor="text1"/>
        </w:rPr>
      </w:pPr>
    </w:p>
    <w:p w:rsidR="00C9737E" w:rsidRDefault="00C9737E" w:rsidP="00170DC4">
      <w:pPr>
        <w:autoSpaceDE w:val="0"/>
        <w:autoSpaceDN w:val="0"/>
        <w:adjustRightInd w:val="0"/>
        <w:spacing w:after="0" w:line="240" w:lineRule="auto"/>
        <w:jc w:val="center"/>
        <w:rPr>
          <w:rFonts w:eastAsiaTheme="minorEastAsia"/>
          <w:color w:val="000000" w:themeColor="text1"/>
        </w:rPr>
      </w:pPr>
      <w:r w:rsidRPr="00C9737E">
        <w:rPr>
          <w:rFonts w:eastAsiaTheme="minorEastAsia"/>
          <w:color w:val="000000" w:themeColor="text1"/>
        </w:rPr>
        <w:t>Kính gửi: Tổng cục Hải quan</w:t>
      </w:r>
    </w:p>
    <w:p w:rsidR="00170DC4" w:rsidRPr="00C9737E" w:rsidRDefault="00170DC4" w:rsidP="00C9737E">
      <w:pPr>
        <w:autoSpaceDE w:val="0"/>
        <w:autoSpaceDN w:val="0"/>
        <w:adjustRightInd w:val="0"/>
        <w:spacing w:after="0" w:line="240" w:lineRule="auto"/>
        <w:jc w:val="both"/>
        <w:rPr>
          <w:rFonts w:eastAsiaTheme="minorEastAsia"/>
          <w:color w:val="000000" w:themeColor="text1"/>
        </w:rPr>
      </w:pPr>
    </w:p>
    <w:p w:rsidR="00C9737E" w:rsidRPr="00C9737E" w:rsidRDefault="00170DC4" w:rsidP="00170DC4">
      <w:pPr>
        <w:autoSpaceDE w:val="0"/>
        <w:autoSpaceDN w:val="0"/>
        <w:adjustRightInd w:val="0"/>
        <w:spacing w:before="120" w:after="120" w:line="240" w:lineRule="auto"/>
        <w:jc w:val="both"/>
        <w:rPr>
          <w:rFonts w:eastAsiaTheme="minorEastAsia"/>
          <w:color w:val="000000" w:themeColor="text1"/>
        </w:rPr>
      </w:pPr>
      <w:r>
        <w:rPr>
          <w:rFonts w:eastAsiaTheme="minorEastAsia"/>
          <w:color w:val="000000" w:themeColor="text1"/>
        </w:rPr>
        <w:tab/>
      </w:r>
      <w:r w:rsidR="00C9737E" w:rsidRPr="00C9737E">
        <w:rPr>
          <w:rFonts w:eastAsiaTheme="minorEastAsia"/>
          <w:color w:val="000000" w:themeColor="text1"/>
        </w:rPr>
        <w:t xml:space="preserve">Tổng cục Thuế nhận được văn bản số NB: 297/DTQLT ngày 26/9/2018  </w:t>
      </w:r>
      <w:r>
        <w:rPr>
          <w:rFonts w:eastAsiaTheme="minorEastAsia"/>
          <w:color w:val="000000" w:themeColor="text1"/>
        </w:rPr>
        <w:t xml:space="preserve"> </w:t>
      </w:r>
      <w:r w:rsidR="00C9737E" w:rsidRPr="00C9737E">
        <w:rPr>
          <w:rFonts w:eastAsiaTheme="minorEastAsia"/>
          <w:color w:val="000000" w:themeColor="text1"/>
        </w:rPr>
        <w:t>của Tổng cục Hải quan về việc bù trừ nợ thuế, nợ phạt. Về vấn đề này, Tổ</w:t>
      </w:r>
      <w:r>
        <w:rPr>
          <w:rFonts w:eastAsiaTheme="minorEastAsia"/>
          <w:color w:val="000000" w:themeColor="text1"/>
        </w:rPr>
        <w:t xml:space="preserve">ng </w:t>
      </w:r>
      <w:r w:rsidR="00C9737E" w:rsidRPr="00C9737E">
        <w:rPr>
          <w:rFonts w:eastAsiaTheme="minorEastAsia"/>
          <w:color w:val="000000" w:themeColor="text1"/>
        </w:rPr>
        <w:t>cục</w:t>
      </w:r>
      <w:r>
        <w:rPr>
          <w:rFonts w:eastAsiaTheme="minorEastAsia"/>
          <w:color w:val="000000" w:themeColor="text1"/>
        </w:rPr>
        <w:t xml:space="preserve"> </w:t>
      </w:r>
      <w:r w:rsidR="00C9737E" w:rsidRPr="00C9737E">
        <w:rPr>
          <w:rFonts w:eastAsiaTheme="minorEastAsia"/>
          <w:color w:val="000000" w:themeColor="text1"/>
        </w:rPr>
        <w:t>Thuế có ý kiến như sau:</w:t>
      </w:r>
    </w:p>
    <w:p w:rsidR="00C9737E" w:rsidRPr="00C9737E" w:rsidRDefault="00170DC4" w:rsidP="00170DC4">
      <w:pPr>
        <w:autoSpaceDE w:val="0"/>
        <w:autoSpaceDN w:val="0"/>
        <w:adjustRightInd w:val="0"/>
        <w:spacing w:before="120" w:after="120" w:line="240" w:lineRule="auto"/>
        <w:jc w:val="both"/>
        <w:rPr>
          <w:rFonts w:eastAsiaTheme="minorEastAsia"/>
          <w:color w:val="000000" w:themeColor="text1"/>
        </w:rPr>
      </w:pPr>
      <w:r>
        <w:rPr>
          <w:rFonts w:eastAsiaTheme="minorEastAsia"/>
          <w:color w:val="000000" w:themeColor="text1"/>
        </w:rPr>
        <w:tab/>
      </w:r>
      <w:r w:rsidR="00C9737E" w:rsidRPr="00C9737E">
        <w:rPr>
          <w:rFonts w:eastAsiaTheme="minorEastAsia"/>
          <w:color w:val="000000" w:themeColor="text1"/>
        </w:rPr>
        <w:t>Điều 47 Luật quản lý thuế được sửa đổi, bổ sung tại Luật số</w:t>
      </w:r>
      <w:r>
        <w:rPr>
          <w:rFonts w:eastAsiaTheme="minorEastAsia"/>
          <w:color w:val="000000" w:themeColor="text1"/>
        </w:rPr>
        <w:t xml:space="preserve"> </w:t>
      </w:r>
      <w:r w:rsidR="00C9737E" w:rsidRPr="00C9737E">
        <w:rPr>
          <w:rFonts w:eastAsiaTheme="minorEastAsia"/>
          <w:color w:val="000000" w:themeColor="text1"/>
        </w:rPr>
        <w:t>21/2012/QH13 quy định:</w:t>
      </w:r>
    </w:p>
    <w:p w:rsidR="00C9737E" w:rsidRPr="00C9737E" w:rsidRDefault="00170DC4" w:rsidP="00170DC4">
      <w:pPr>
        <w:autoSpaceDE w:val="0"/>
        <w:autoSpaceDN w:val="0"/>
        <w:adjustRightInd w:val="0"/>
        <w:spacing w:before="120" w:after="120" w:line="240" w:lineRule="auto"/>
        <w:jc w:val="both"/>
        <w:rPr>
          <w:rFonts w:eastAsiaTheme="minorEastAsia"/>
          <w:b/>
          <w:i/>
          <w:iCs/>
          <w:color w:val="000000" w:themeColor="text1"/>
        </w:rPr>
      </w:pPr>
      <w:r w:rsidRPr="00B82438">
        <w:rPr>
          <w:rFonts w:eastAsiaTheme="minorEastAsia"/>
          <w:i/>
          <w:iCs/>
          <w:color w:val="000000" w:themeColor="text1"/>
        </w:rPr>
        <w:tab/>
      </w:r>
      <w:r w:rsidR="00C9737E" w:rsidRPr="00C9737E">
        <w:rPr>
          <w:rFonts w:eastAsiaTheme="minorEastAsia"/>
          <w:b/>
          <w:i/>
          <w:iCs/>
          <w:color w:val="000000" w:themeColor="text1"/>
        </w:rPr>
        <w:t>"Điều 47. Xử lý số tiền thuế, tiền chậm nộp, tiền phạt nộp thừa</w:t>
      </w:r>
    </w:p>
    <w:p w:rsidR="00C9737E" w:rsidRPr="00C9737E" w:rsidRDefault="00170DC4" w:rsidP="00170DC4">
      <w:pPr>
        <w:autoSpaceDE w:val="0"/>
        <w:autoSpaceDN w:val="0"/>
        <w:adjustRightInd w:val="0"/>
        <w:spacing w:before="120" w:after="120" w:line="240" w:lineRule="auto"/>
        <w:jc w:val="both"/>
        <w:rPr>
          <w:rFonts w:eastAsiaTheme="minorEastAsia"/>
          <w:i/>
          <w:iCs/>
          <w:color w:val="000000" w:themeColor="text1"/>
        </w:rPr>
      </w:pPr>
      <w:r w:rsidRPr="00B82438">
        <w:rPr>
          <w:rFonts w:eastAsiaTheme="minorEastAsia"/>
          <w:i/>
          <w:iCs/>
          <w:color w:val="000000" w:themeColor="text1"/>
        </w:rPr>
        <w:tab/>
      </w:r>
      <w:r w:rsidR="00C9737E" w:rsidRPr="00C9737E">
        <w:rPr>
          <w:rFonts w:eastAsiaTheme="minorEastAsia"/>
          <w:i/>
          <w:iCs/>
          <w:color w:val="000000" w:themeColor="text1"/>
        </w:rPr>
        <w:t>1. Người nộp thuế có số tiền thuế, tiền chậm nộp, tiền phạt đã nộp lớn</w:t>
      </w:r>
      <w:r w:rsidRPr="00B82438">
        <w:rPr>
          <w:rFonts w:eastAsiaTheme="minorEastAsia"/>
          <w:i/>
          <w:iCs/>
          <w:color w:val="000000" w:themeColor="text1"/>
        </w:rPr>
        <w:t xml:space="preserve"> </w:t>
      </w:r>
      <w:r w:rsidR="00C9737E" w:rsidRPr="00C9737E">
        <w:rPr>
          <w:rFonts w:eastAsiaTheme="minorEastAsia"/>
          <w:i/>
          <w:iCs/>
          <w:color w:val="000000" w:themeColor="text1"/>
        </w:rPr>
        <w:t>hơn số tiền thuế tiền chậm nộp, tiền phạt phải nộp đối với từng loại thuế trong</w:t>
      </w:r>
      <w:r w:rsidRPr="00B82438">
        <w:rPr>
          <w:rFonts w:eastAsiaTheme="minorEastAsia"/>
          <w:i/>
          <w:iCs/>
          <w:color w:val="000000" w:themeColor="text1"/>
        </w:rPr>
        <w:t xml:space="preserve"> </w:t>
      </w:r>
      <w:r w:rsidR="00C9737E" w:rsidRPr="00C9737E">
        <w:rPr>
          <w:rFonts w:eastAsiaTheme="minorEastAsia"/>
          <w:i/>
          <w:iCs/>
          <w:color w:val="000000" w:themeColor="text1"/>
        </w:rPr>
        <w:t>thời hạn mười năm, kể từ ngày nộp tiền vào ngân sách nhà nước thì được bù trừ</w:t>
      </w:r>
      <w:r w:rsidRPr="00B82438">
        <w:rPr>
          <w:rFonts w:eastAsiaTheme="minorEastAsia"/>
          <w:i/>
          <w:iCs/>
          <w:color w:val="000000" w:themeColor="text1"/>
        </w:rPr>
        <w:t xml:space="preserve"> </w:t>
      </w:r>
      <w:r w:rsidR="00C9737E" w:rsidRPr="00C9737E">
        <w:rPr>
          <w:rFonts w:eastAsiaTheme="minorEastAsia"/>
          <w:i/>
          <w:iCs/>
          <w:color w:val="000000" w:themeColor="text1"/>
        </w:rPr>
        <w:t>số tiền thuế, tiền chậm nộp, tiền phạt nộp thừa với số tiền thuế, tiền chậm nộp,</w:t>
      </w:r>
      <w:r w:rsidRPr="00B82438">
        <w:rPr>
          <w:rFonts w:eastAsiaTheme="minorEastAsia"/>
          <w:i/>
          <w:iCs/>
          <w:color w:val="000000" w:themeColor="text1"/>
        </w:rPr>
        <w:t xml:space="preserve"> </w:t>
      </w:r>
      <w:r w:rsidR="00C9737E" w:rsidRPr="00C9737E">
        <w:rPr>
          <w:rFonts w:eastAsiaTheme="minorEastAsia"/>
          <w:i/>
          <w:iCs/>
          <w:color w:val="000000" w:themeColor="text1"/>
        </w:rPr>
        <w:t xml:space="preserve">tiền phạt còn </w:t>
      </w:r>
      <w:r w:rsidR="00C9737E" w:rsidRPr="00C9737E">
        <w:rPr>
          <w:rFonts w:eastAsiaTheme="minorEastAsia"/>
          <w:i/>
          <w:color w:val="000000" w:themeColor="text1"/>
        </w:rPr>
        <w:t xml:space="preserve">nợ, </w:t>
      </w:r>
      <w:r w:rsidR="00C9737E" w:rsidRPr="00C9737E">
        <w:rPr>
          <w:rFonts w:eastAsiaTheme="minorEastAsia"/>
          <w:i/>
          <w:iCs/>
          <w:color w:val="000000" w:themeColor="text1"/>
        </w:rPr>
        <w:t>kể cả việc bù trừ giữa các loại thuế với nhau, hoặc trừ vào số</w:t>
      </w:r>
      <w:r w:rsidRPr="00B82438">
        <w:rPr>
          <w:rFonts w:eastAsiaTheme="minorEastAsia"/>
          <w:i/>
          <w:iCs/>
          <w:color w:val="000000" w:themeColor="text1"/>
        </w:rPr>
        <w:t xml:space="preserve"> </w:t>
      </w:r>
      <w:r w:rsidR="00C9737E" w:rsidRPr="00C9737E">
        <w:rPr>
          <w:rFonts w:eastAsiaTheme="minorEastAsia"/>
          <w:i/>
          <w:iCs/>
          <w:color w:val="000000" w:themeColor="text1"/>
        </w:rPr>
        <w:t>tiền thuế, tiền chậm nộp, tiền phạt phải nộp của lần nộp thuế tiếp theo; hoặc</w:t>
      </w:r>
      <w:r w:rsidRPr="00B82438">
        <w:rPr>
          <w:rFonts w:eastAsiaTheme="minorEastAsia"/>
          <w:i/>
          <w:iCs/>
          <w:color w:val="000000" w:themeColor="text1"/>
        </w:rPr>
        <w:t xml:space="preserve"> </w:t>
      </w:r>
      <w:r w:rsidR="00C9737E" w:rsidRPr="00C9737E">
        <w:rPr>
          <w:rFonts w:eastAsiaTheme="minorEastAsia"/>
          <w:i/>
          <w:iCs/>
          <w:color w:val="000000" w:themeColor="text1"/>
        </w:rPr>
        <w:t>hoàn trả số tiền thuế, tiền chậm nộp, tiền phạt nộp thừa khi người nộp thuế</w:t>
      </w:r>
      <w:r w:rsidRPr="00B82438">
        <w:rPr>
          <w:rFonts w:eastAsiaTheme="minorEastAsia"/>
          <w:i/>
          <w:iCs/>
          <w:color w:val="000000" w:themeColor="text1"/>
        </w:rPr>
        <w:t xml:space="preserve"> </w:t>
      </w:r>
      <w:r w:rsidR="00C9737E" w:rsidRPr="00C9737E">
        <w:rPr>
          <w:rFonts w:eastAsiaTheme="minorEastAsia"/>
          <w:i/>
          <w:iCs/>
          <w:color w:val="000000" w:themeColor="text1"/>
        </w:rPr>
        <w:t xml:space="preserve">còn </w:t>
      </w:r>
      <w:r w:rsidR="00C9737E" w:rsidRPr="00C9737E">
        <w:rPr>
          <w:rFonts w:eastAsiaTheme="minorEastAsia"/>
          <w:i/>
          <w:color w:val="000000" w:themeColor="text1"/>
        </w:rPr>
        <w:t xml:space="preserve">nợ </w:t>
      </w:r>
      <w:r w:rsidR="00C9737E" w:rsidRPr="00C9737E">
        <w:rPr>
          <w:rFonts w:eastAsiaTheme="minorEastAsia"/>
          <w:i/>
          <w:iCs/>
          <w:color w:val="000000" w:themeColor="text1"/>
        </w:rPr>
        <w:t xml:space="preserve">tiền thuế, tiền chậm nộp, tiền phạt. </w:t>
      </w:r>
      <w:r w:rsidR="00C9737E" w:rsidRPr="00C9737E">
        <w:rPr>
          <w:rFonts w:eastAsiaTheme="minorEastAsia"/>
          <w:i/>
          <w:color w:val="000000" w:themeColor="text1"/>
        </w:rPr>
        <w:t>"</w:t>
      </w:r>
    </w:p>
    <w:p w:rsidR="00C9737E" w:rsidRPr="00C9737E" w:rsidRDefault="00170DC4" w:rsidP="00170DC4">
      <w:pPr>
        <w:autoSpaceDE w:val="0"/>
        <w:autoSpaceDN w:val="0"/>
        <w:adjustRightInd w:val="0"/>
        <w:spacing w:before="120" w:after="120" w:line="240" w:lineRule="auto"/>
        <w:jc w:val="both"/>
        <w:rPr>
          <w:rFonts w:eastAsiaTheme="minorEastAsia"/>
          <w:color w:val="000000" w:themeColor="text1"/>
        </w:rPr>
      </w:pPr>
      <w:r>
        <w:rPr>
          <w:rFonts w:eastAsiaTheme="minorEastAsia"/>
          <w:color w:val="000000" w:themeColor="text1"/>
        </w:rPr>
        <w:tab/>
      </w:r>
      <w:r w:rsidR="00C9737E" w:rsidRPr="00C9737E">
        <w:rPr>
          <w:rFonts w:eastAsiaTheme="minorEastAsia"/>
          <w:color w:val="000000" w:themeColor="text1"/>
        </w:rPr>
        <w:t>- Điều 132 Thông tư số 38/2015/TT-BTC được sửa đổi, bổ sung theo</w:t>
      </w:r>
      <w:r>
        <w:rPr>
          <w:rFonts w:eastAsiaTheme="minorEastAsia"/>
          <w:color w:val="000000" w:themeColor="text1"/>
        </w:rPr>
        <w:t xml:space="preserve"> </w:t>
      </w:r>
      <w:r w:rsidR="00C9737E" w:rsidRPr="00C9737E">
        <w:rPr>
          <w:rFonts w:eastAsiaTheme="minorEastAsia"/>
          <w:color w:val="000000" w:themeColor="text1"/>
        </w:rPr>
        <w:t>Thông tư số 39/2018/TT-BTC ngày 20/4/2018 của Bộ Tài chính quy định:</w:t>
      </w:r>
    </w:p>
    <w:p w:rsidR="00C9737E" w:rsidRPr="00C9737E" w:rsidRDefault="00170DC4" w:rsidP="00170DC4">
      <w:pPr>
        <w:autoSpaceDE w:val="0"/>
        <w:autoSpaceDN w:val="0"/>
        <w:adjustRightInd w:val="0"/>
        <w:spacing w:before="120" w:after="120" w:line="240" w:lineRule="auto"/>
        <w:jc w:val="both"/>
        <w:rPr>
          <w:rFonts w:eastAsiaTheme="minorEastAsia"/>
          <w:i/>
          <w:iCs/>
          <w:color w:val="000000" w:themeColor="text1"/>
        </w:rPr>
      </w:pPr>
      <w:r>
        <w:rPr>
          <w:rFonts w:eastAsiaTheme="minorEastAsia"/>
          <w:i/>
          <w:iCs/>
          <w:color w:val="000000" w:themeColor="text1"/>
        </w:rPr>
        <w:tab/>
      </w:r>
      <w:r w:rsidR="00C9737E" w:rsidRPr="00C9737E">
        <w:rPr>
          <w:rFonts w:eastAsiaTheme="minorEastAsia"/>
          <w:i/>
          <w:iCs/>
          <w:color w:val="000000" w:themeColor="text1"/>
        </w:rPr>
        <w:t xml:space="preserve">"Điều 132. </w:t>
      </w:r>
      <w:r w:rsidR="00C9737E" w:rsidRPr="00C9737E">
        <w:rPr>
          <w:rFonts w:eastAsiaTheme="minorEastAsia"/>
          <w:color w:val="000000" w:themeColor="text1"/>
        </w:rPr>
        <w:t xml:space="preserve">Xử </w:t>
      </w:r>
      <w:r w:rsidR="00C9737E" w:rsidRPr="00C9737E">
        <w:rPr>
          <w:rFonts w:eastAsiaTheme="minorEastAsia"/>
          <w:i/>
          <w:iCs/>
          <w:color w:val="000000" w:themeColor="text1"/>
        </w:rPr>
        <w:t>lý số tiền thuế, tiền chậm nộp, tiền phạt được hoàn</w:t>
      </w:r>
    </w:p>
    <w:p w:rsidR="00C9737E" w:rsidRPr="00C9737E" w:rsidRDefault="00170DC4" w:rsidP="00170DC4">
      <w:pPr>
        <w:autoSpaceDE w:val="0"/>
        <w:autoSpaceDN w:val="0"/>
        <w:adjustRightInd w:val="0"/>
        <w:spacing w:before="120" w:after="120" w:line="240" w:lineRule="auto"/>
        <w:jc w:val="both"/>
        <w:rPr>
          <w:rFonts w:eastAsiaTheme="minorEastAsia"/>
          <w:i/>
          <w:iCs/>
          <w:color w:val="000000" w:themeColor="text1"/>
        </w:rPr>
      </w:pPr>
      <w:r>
        <w:rPr>
          <w:rFonts w:eastAsiaTheme="minorEastAsia"/>
          <w:i/>
          <w:iCs/>
          <w:color w:val="000000" w:themeColor="text1"/>
        </w:rPr>
        <w:tab/>
      </w:r>
      <w:r w:rsidR="00C9737E" w:rsidRPr="00C9737E">
        <w:rPr>
          <w:rFonts w:eastAsiaTheme="minorEastAsia"/>
          <w:i/>
          <w:iCs/>
          <w:color w:val="000000" w:themeColor="text1"/>
        </w:rPr>
        <w:t>1. Đối với việc hoàn trả tiền thuế, tiền phạt được hoàn từ tài khoản</w:t>
      </w:r>
      <w:r>
        <w:rPr>
          <w:rFonts w:eastAsiaTheme="minorEastAsia"/>
          <w:i/>
          <w:iCs/>
          <w:color w:val="000000" w:themeColor="text1"/>
        </w:rPr>
        <w:t xml:space="preserve"> </w:t>
      </w:r>
      <w:r w:rsidR="00C9737E" w:rsidRPr="00C9737E">
        <w:rPr>
          <w:rFonts w:eastAsiaTheme="minorEastAsia"/>
          <w:i/>
          <w:iCs/>
          <w:color w:val="000000" w:themeColor="text1"/>
        </w:rPr>
        <w:t xml:space="preserve">tiền gửi của cơ quan hải quan, trên </w:t>
      </w:r>
      <w:r w:rsidR="00C9737E" w:rsidRPr="00C9737E">
        <w:rPr>
          <w:rFonts w:eastAsiaTheme="minorEastAsia"/>
          <w:color w:val="000000" w:themeColor="text1"/>
        </w:rPr>
        <w:t xml:space="preserve">cơ sở </w:t>
      </w:r>
      <w:r w:rsidR="00C9737E" w:rsidRPr="00C9737E">
        <w:rPr>
          <w:rFonts w:eastAsiaTheme="minorEastAsia"/>
          <w:i/>
          <w:iCs/>
          <w:color w:val="000000" w:themeColor="text1"/>
        </w:rPr>
        <w:t xml:space="preserve">đề nghị của người nộp thuế, </w:t>
      </w:r>
      <w:r w:rsidR="00C9737E" w:rsidRPr="00C9737E">
        <w:rPr>
          <w:rFonts w:eastAsiaTheme="minorEastAsia"/>
          <w:color w:val="000000" w:themeColor="text1"/>
        </w:rPr>
        <w:t xml:space="preserve">cơ </w:t>
      </w:r>
      <w:r w:rsidR="00C9737E" w:rsidRPr="00C9737E">
        <w:rPr>
          <w:rFonts w:eastAsiaTheme="minorEastAsia"/>
          <w:i/>
          <w:iCs/>
          <w:color w:val="000000" w:themeColor="text1"/>
        </w:rPr>
        <w:t>quan</w:t>
      </w:r>
      <w:r>
        <w:rPr>
          <w:rFonts w:eastAsiaTheme="minorEastAsia"/>
          <w:i/>
          <w:iCs/>
          <w:color w:val="000000" w:themeColor="text1"/>
        </w:rPr>
        <w:t xml:space="preserve"> </w:t>
      </w:r>
      <w:r w:rsidR="00C9737E" w:rsidRPr="00C9737E">
        <w:rPr>
          <w:rFonts w:eastAsiaTheme="minorEastAsia"/>
          <w:i/>
          <w:iCs/>
          <w:color w:val="000000" w:themeColor="text1"/>
        </w:rPr>
        <w:t>hải quan thực hiện kiểm tra, đối chiếu trên Hệ thống và xử lý như sau</w:t>
      </w:r>
    </w:p>
    <w:p w:rsidR="00C9737E" w:rsidRPr="00C9737E" w:rsidRDefault="00170DC4" w:rsidP="00170DC4">
      <w:pPr>
        <w:autoSpaceDE w:val="0"/>
        <w:autoSpaceDN w:val="0"/>
        <w:adjustRightInd w:val="0"/>
        <w:spacing w:before="120" w:after="120" w:line="240" w:lineRule="auto"/>
        <w:jc w:val="both"/>
        <w:rPr>
          <w:rFonts w:eastAsiaTheme="minorEastAsia"/>
          <w:i/>
          <w:iCs/>
          <w:color w:val="000000" w:themeColor="text1"/>
        </w:rPr>
      </w:pPr>
      <w:r>
        <w:rPr>
          <w:rFonts w:eastAsiaTheme="minorEastAsia"/>
          <w:i/>
          <w:iCs/>
          <w:color w:val="000000" w:themeColor="text1"/>
        </w:rPr>
        <w:tab/>
      </w:r>
      <w:r w:rsidR="00C9737E" w:rsidRPr="00C9737E">
        <w:rPr>
          <w:rFonts w:eastAsiaTheme="minorEastAsia"/>
          <w:i/>
          <w:iCs/>
          <w:color w:val="000000" w:themeColor="text1"/>
        </w:rPr>
        <w:t xml:space="preserve">b.1) Trường hợp người nộp thuế yêu cầu bù trừ, </w:t>
      </w:r>
      <w:r w:rsidR="00C9737E" w:rsidRPr="00C9737E">
        <w:rPr>
          <w:rFonts w:eastAsiaTheme="minorEastAsia"/>
          <w:color w:val="000000" w:themeColor="text1"/>
        </w:rPr>
        <w:t xml:space="preserve">cơ </w:t>
      </w:r>
      <w:r w:rsidR="00C9737E" w:rsidRPr="00C9737E">
        <w:rPr>
          <w:rFonts w:eastAsiaTheme="minorEastAsia"/>
          <w:i/>
          <w:iCs/>
          <w:color w:val="000000" w:themeColor="text1"/>
        </w:rPr>
        <w:t>quan hải quan lập ủy</w:t>
      </w:r>
      <w:r>
        <w:rPr>
          <w:rFonts w:eastAsiaTheme="minorEastAsia"/>
          <w:i/>
          <w:iCs/>
          <w:color w:val="000000" w:themeColor="text1"/>
        </w:rPr>
        <w:t xml:space="preserve"> </w:t>
      </w:r>
      <w:r w:rsidR="00C9737E" w:rsidRPr="00C9737E">
        <w:rPr>
          <w:rFonts w:eastAsiaTheme="minorEastAsia"/>
          <w:i/>
          <w:iCs/>
          <w:color w:val="000000" w:themeColor="text1"/>
        </w:rPr>
        <w:t>nhiệm chi gửi Kho bạc Nhà nước để nộp ngân sách nhà nước thay cho người</w:t>
      </w:r>
      <w:r>
        <w:rPr>
          <w:rFonts w:eastAsiaTheme="minorEastAsia"/>
          <w:i/>
          <w:iCs/>
          <w:color w:val="000000" w:themeColor="text1"/>
        </w:rPr>
        <w:t xml:space="preserve"> </w:t>
      </w:r>
      <w:r w:rsidR="00C9737E" w:rsidRPr="00C9737E">
        <w:rPr>
          <w:rFonts w:eastAsiaTheme="minorEastAsia"/>
          <w:i/>
          <w:iCs/>
          <w:color w:val="000000" w:themeColor="text1"/>
        </w:rPr>
        <w:t>nộp thuế;</w:t>
      </w:r>
    </w:p>
    <w:p w:rsidR="00A44862" w:rsidRDefault="00170DC4" w:rsidP="00170DC4">
      <w:pPr>
        <w:autoSpaceDE w:val="0"/>
        <w:autoSpaceDN w:val="0"/>
        <w:adjustRightInd w:val="0"/>
        <w:spacing w:before="120" w:after="120" w:line="240" w:lineRule="auto"/>
        <w:jc w:val="both"/>
        <w:rPr>
          <w:rFonts w:eastAsiaTheme="minorEastAsia"/>
          <w:i/>
          <w:iCs/>
          <w:color w:val="000000" w:themeColor="text1"/>
        </w:rPr>
      </w:pPr>
      <w:r>
        <w:rPr>
          <w:rFonts w:eastAsiaTheme="minorEastAsia"/>
          <w:i/>
          <w:iCs/>
          <w:color w:val="000000" w:themeColor="text1"/>
        </w:rPr>
        <w:tab/>
      </w:r>
      <w:r w:rsidR="00C9737E" w:rsidRPr="00C9737E">
        <w:rPr>
          <w:rFonts w:eastAsiaTheme="minorEastAsia"/>
          <w:i/>
          <w:iCs/>
          <w:color w:val="000000" w:themeColor="text1"/>
        </w:rPr>
        <w:t xml:space="preserve">b.2) Trường hợp người nộp thuế không yêu cầu bù trừ nhưng </w:t>
      </w:r>
      <w:r w:rsidR="00C9737E" w:rsidRPr="00C9737E">
        <w:rPr>
          <w:rFonts w:eastAsiaTheme="minorEastAsia"/>
          <w:color w:val="000000" w:themeColor="text1"/>
        </w:rPr>
        <w:t xml:space="preserve">cơ </w:t>
      </w:r>
      <w:r w:rsidR="00C9737E" w:rsidRPr="00C9737E">
        <w:rPr>
          <w:rFonts w:eastAsiaTheme="minorEastAsia"/>
          <w:i/>
          <w:iCs/>
          <w:color w:val="000000" w:themeColor="text1"/>
        </w:rPr>
        <w:t>quan hải</w:t>
      </w:r>
      <w:r>
        <w:rPr>
          <w:rFonts w:eastAsiaTheme="minorEastAsia"/>
          <w:i/>
          <w:iCs/>
          <w:color w:val="000000" w:themeColor="text1"/>
        </w:rPr>
        <w:t xml:space="preserve"> </w:t>
      </w:r>
      <w:r w:rsidR="00C9737E" w:rsidRPr="00C9737E">
        <w:rPr>
          <w:rFonts w:eastAsiaTheme="minorEastAsia"/>
          <w:i/>
          <w:iCs/>
          <w:color w:val="000000" w:themeColor="text1"/>
        </w:rPr>
        <w:t>quan phát hiện người nộp thuế còn nghĩa vụ phải nộp các khoản tiền thuế, tiền</w:t>
      </w:r>
      <w:r>
        <w:rPr>
          <w:rFonts w:eastAsiaTheme="minorEastAsia"/>
          <w:i/>
          <w:iCs/>
          <w:color w:val="000000" w:themeColor="text1"/>
        </w:rPr>
        <w:t xml:space="preserve"> </w:t>
      </w:r>
      <w:r w:rsidR="00C9737E" w:rsidRPr="00C9737E">
        <w:rPr>
          <w:rFonts w:eastAsiaTheme="minorEastAsia"/>
          <w:i/>
          <w:iCs/>
          <w:color w:val="000000" w:themeColor="text1"/>
        </w:rPr>
        <w:t>chậm nộp, tiền phạt, các khoản phải nộp khác, bao gồm cả tiền phí, lệ phí còn</w:t>
      </w:r>
      <w:r>
        <w:rPr>
          <w:rFonts w:eastAsiaTheme="minorEastAsia"/>
          <w:i/>
          <w:iCs/>
          <w:color w:val="000000" w:themeColor="text1"/>
        </w:rPr>
        <w:t xml:space="preserve"> </w:t>
      </w:r>
      <w:r w:rsidR="00C9737E" w:rsidRPr="00C9737E">
        <w:rPr>
          <w:rFonts w:eastAsiaTheme="minorEastAsia"/>
          <w:i/>
          <w:iCs/>
          <w:color w:val="000000" w:themeColor="text1"/>
        </w:rPr>
        <w:t xml:space="preserve">nợ: </w:t>
      </w:r>
      <w:r w:rsidR="00C9737E" w:rsidRPr="00C9737E">
        <w:rPr>
          <w:rFonts w:eastAsiaTheme="minorEastAsia"/>
          <w:color w:val="000000" w:themeColor="text1"/>
        </w:rPr>
        <w:t xml:space="preserve">cơ </w:t>
      </w:r>
      <w:r w:rsidR="00C9737E" w:rsidRPr="00C9737E">
        <w:rPr>
          <w:rFonts w:eastAsiaTheme="minorEastAsia"/>
          <w:i/>
          <w:iCs/>
          <w:color w:val="000000" w:themeColor="text1"/>
        </w:rPr>
        <w:t>quan hải quan thực hiện xử lý theo quy định tại điểm b.1 khoản này và</w:t>
      </w:r>
      <w:r>
        <w:rPr>
          <w:rFonts w:eastAsiaTheme="minorEastAsia"/>
          <w:i/>
          <w:iCs/>
          <w:color w:val="000000" w:themeColor="text1"/>
        </w:rPr>
        <w:t xml:space="preserve"> </w:t>
      </w:r>
      <w:r w:rsidR="00C9737E" w:rsidRPr="00C9737E">
        <w:rPr>
          <w:rFonts w:eastAsiaTheme="minorEastAsia"/>
          <w:i/>
          <w:iCs/>
          <w:color w:val="000000" w:themeColor="text1"/>
        </w:rPr>
        <w:t>thông báo cho người nộp thuế theo mẫu  số 28/TBBT/TXNK Phụ lục VI ban hành</w:t>
      </w:r>
      <w:r>
        <w:rPr>
          <w:rFonts w:eastAsiaTheme="minorEastAsia"/>
          <w:i/>
          <w:iCs/>
          <w:color w:val="000000" w:themeColor="text1"/>
        </w:rPr>
        <w:t xml:space="preserve"> </w:t>
      </w:r>
      <w:r w:rsidR="00C9737E" w:rsidRPr="00C9737E">
        <w:rPr>
          <w:rFonts w:eastAsiaTheme="minorEastAsia"/>
          <w:i/>
          <w:iCs/>
          <w:color w:val="000000" w:themeColor="text1"/>
        </w:rPr>
        <w:t>kèm Thông tư này;</w:t>
      </w:r>
    </w:p>
    <w:p w:rsidR="00C9737E" w:rsidRDefault="00170DC4" w:rsidP="00170DC4">
      <w:pPr>
        <w:spacing w:before="120" w:after="120"/>
        <w:jc w:val="both"/>
      </w:pPr>
      <w:r>
        <w:lastRenderedPageBreak/>
        <w:tab/>
        <w:t>2. Đối với việc hoàn trả tiền thuế, tiền chậm nộp, tiền phạt từ ngân sách nhà nước nhà nước, trên cơ sở đề nghị của người nộp thuế cơ quan hải quan thực hiện kiểm tra, đối chiếu trên Hệ thống kế toán và xử lý như sau</w:t>
      </w:r>
    </w:p>
    <w:p w:rsidR="00170DC4" w:rsidRDefault="00170DC4" w:rsidP="00170DC4">
      <w:pPr>
        <w:spacing w:before="120" w:after="120"/>
        <w:jc w:val="both"/>
      </w:pPr>
      <w:r>
        <w:t>…</w:t>
      </w:r>
    </w:p>
    <w:p w:rsidR="00170DC4" w:rsidRDefault="00170DC4" w:rsidP="00170DC4">
      <w:pPr>
        <w:spacing w:before="120" w:after="120"/>
        <w:jc w:val="both"/>
      </w:pPr>
      <w:r>
        <w:tab/>
        <w:t>b.1) Trường hợp người nộp thuế đề nghị bù trừ, cơ quan hải quan lập  từ điều chỉnh khoản thu ngân sách nhà nước hoặc lệnh hoàn trả kiêm bù trừ theo mẫu quy định tại Thông tư số 77/2017/TT-BTC gửi Kho bạc Nhà nước để nộp ngân sách nhà nước thay cho người nộp thuế;</w:t>
      </w:r>
    </w:p>
    <w:p w:rsidR="00170DC4" w:rsidRDefault="00170DC4" w:rsidP="00170DC4">
      <w:pPr>
        <w:spacing w:before="120" w:after="120"/>
        <w:jc w:val="both"/>
      </w:pPr>
      <w:r>
        <w:tab/>
        <w:t>b.2.) Trường hợp người nộp thuế không đề nghị bù trừ nhưng cơ quan hải quan phát hiện người nộp thuế còn nghĩa vụ phải nộp các khoản tiền thuế, tiền chậm nộp, tiền phạt, các khoản phải nộp khác, bao gồm cả tiền phí, lệ phí còn nợ: cơ quan hải quan thực hiện xử lý theo quy định tại điểm b.1 khoản này và thông báo cho người nộp thuế theo mẫu số 28/TBBT/TNXK Phụ lục VI ban hành kèm Thông tư này;…”</w:t>
      </w:r>
    </w:p>
    <w:p w:rsidR="00170DC4" w:rsidRPr="00170DC4" w:rsidRDefault="00170DC4" w:rsidP="00170DC4">
      <w:pPr>
        <w:autoSpaceDE w:val="0"/>
        <w:autoSpaceDN w:val="0"/>
        <w:adjustRightInd w:val="0"/>
        <w:spacing w:before="120" w:after="120" w:line="240" w:lineRule="auto"/>
        <w:jc w:val="both"/>
        <w:rPr>
          <w:rFonts w:eastAsiaTheme="minorEastAsia"/>
          <w:color w:val="000000" w:themeColor="text1"/>
        </w:rPr>
      </w:pPr>
      <w:r>
        <w:rPr>
          <w:rFonts w:eastAsiaTheme="minorEastAsia"/>
          <w:color w:val="000000" w:themeColor="text1"/>
        </w:rPr>
        <w:tab/>
      </w:r>
      <w:r w:rsidRPr="00170DC4">
        <w:rPr>
          <w:rFonts w:eastAsiaTheme="minorEastAsia"/>
          <w:color w:val="000000" w:themeColor="text1"/>
        </w:rPr>
        <w:t xml:space="preserve">Căn cứ các quy định nêu trên, Tổng cục Thuế nhất trí </w:t>
      </w:r>
      <w:r>
        <w:rPr>
          <w:rFonts w:eastAsiaTheme="minorEastAsia"/>
          <w:color w:val="000000" w:themeColor="text1"/>
        </w:rPr>
        <w:t>với</w:t>
      </w:r>
      <w:r w:rsidRPr="00170DC4">
        <w:rPr>
          <w:rFonts w:eastAsiaTheme="minorEastAsia"/>
          <w:color w:val="000000" w:themeColor="text1"/>
        </w:rPr>
        <w:t xml:space="preserve"> ý kiến công văn</w:t>
      </w:r>
      <w:r>
        <w:rPr>
          <w:rFonts w:eastAsiaTheme="minorEastAsia"/>
          <w:color w:val="000000" w:themeColor="text1"/>
        </w:rPr>
        <w:t xml:space="preserve"> </w:t>
      </w:r>
      <w:r w:rsidRPr="00170DC4">
        <w:rPr>
          <w:rFonts w:eastAsiaTheme="minorEastAsia"/>
          <w:color w:val="000000" w:themeColor="text1"/>
        </w:rPr>
        <w:t>số 297/DTQLT ngày 26/9/2018 của Tổng cục Hải quan, cụ thể như sau:</w:t>
      </w:r>
    </w:p>
    <w:p w:rsidR="00170DC4" w:rsidRPr="00170DC4" w:rsidRDefault="00170DC4" w:rsidP="00170DC4">
      <w:pPr>
        <w:autoSpaceDE w:val="0"/>
        <w:autoSpaceDN w:val="0"/>
        <w:adjustRightInd w:val="0"/>
        <w:spacing w:before="120" w:after="120" w:line="240" w:lineRule="auto"/>
        <w:jc w:val="both"/>
        <w:rPr>
          <w:rFonts w:eastAsiaTheme="minorEastAsia"/>
          <w:color w:val="000000" w:themeColor="text1"/>
        </w:rPr>
      </w:pPr>
      <w:r>
        <w:rPr>
          <w:rFonts w:eastAsiaTheme="minorEastAsia"/>
          <w:color w:val="000000" w:themeColor="text1"/>
        </w:rPr>
        <w:tab/>
        <w:t>1.</w:t>
      </w:r>
      <w:r w:rsidRPr="00170DC4">
        <w:rPr>
          <w:rFonts w:eastAsiaTheme="minorEastAsia"/>
          <w:color w:val="000000" w:themeColor="text1"/>
        </w:rPr>
        <w:t xml:space="preserve"> Tổng cục Hải quan trình Bộ Tài chính hướng dẫn cơ quan Hải quan</w:t>
      </w:r>
      <w:r>
        <w:rPr>
          <w:rFonts w:eastAsiaTheme="minorEastAsia"/>
          <w:color w:val="000000" w:themeColor="text1"/>
        </w:rPr>
        <w:t xml:space="preserve"> </w:t>
      </w:r>
      <w:r w:rsidRPr="00170DC4">
        <w:rPr>
          <w:rFonts w:eastAsiaTheme="minorEastAsia"/>
          <w:color w:val="000000" w:themeColor="text1"/>
        </w:rPr>
        <w:t>hoàn thuế nộp thừa và bù trừ thu các khoản nợ thuế thuộc cơ quan Thuế quản lý;</w:t>
      </w:r>
      <w:r>
        <w:rPr>
          <w:rFonts w:eastAsiaTheme="minorEastAsia"/>
          <w:color w:val="000000" w:themeColor="text1"/>
        </w:rPr>
        <w:t xml:space="preserve"> </w:t>
      </w:r>
      <w:r w:rsidRPr="00170DC4">
        <w:rPr>
          <w:rFonts w:eastAsiaTheme="minorEastAsia"/>
          <w:color w:val="000000" w:themeColor="text1"/>
        </w:rPr>
        <w:t>thủ tục thực hiện theo quy định tại Thông tư số 38/201</w:t>
      </w:r>
      <w:r>
        <w:rPr>
          <w:rFonts w:eastAsiaTheme="minorEastAsia"/>
          <w:color w:val="000000" w:themeColor="text1"/>
        </w:rPr>
        <w:t>5/TT-B</w:t>
      </w:r>
      <w:r w:rsidRPr="00170DC4">
        <w:rPr>
          <w:rFonts w:eastAsiaTheme="minorEastAsia"/>
          <w:color w:val="000000" w:themeColor="text1"/>
        </w:rPr>
        <w:t xml:space="preserve">TC và văn bản </w:t>
      </w:r>
      <w:r>
        <w:rPr>
          <w:rFonts w:eastAsiaTheme="minorEastAsia"/>
          <w:color w:val="000000" w:themeColor="text1"/>
        </w:rPr>
        <w:t xml:space="preserve"> </w:t>
      </w:r>
      <w:r w:rsidRPr="00170DC4">
        <w:rPr>
          <w:rFonts w:eastAsiaTheme="minorEastAsia"/>
          <w:color w:val="000000" w:themeColor="text1"/>
        </w:rPr>
        <w:t>đổi bổ sung tương ứng.</w:t>
      </w:r>
    </w:p>
    <w:p w:rsidR="00170DC4" w:rsidRPr="00170DC4" w:rsidRDefault="00170DC4" w:rsidP="00170DC4">
      <w:pPr>
        <w:autoSpaceDE w:val="0"/>
        <w:autoSpaceDN w:val="0"/>
        <w:adjustRightInd w:val="0"/>
        <w:spacing w:before="120" w:after="120" w:line="240" w:lineRule="auto"/>
        <w:jc w:val="both"/>
        <w:rPr>
          <w:rFonts w:eastAsiaTheme="minorEastAsia"/>
          <w:color w:val="000000" w:themeColor="text1"/>
        </w:rPr>
      </w:pPr>
      <w:r>
        <w:rPr>
          <w:rFonts w:eastAsiaTheme="minorEastAsia"/>
          <w:color w:val="000000" w:themeColor="text1"/>
        </w:rPr>
        <w:tab/>
      </w:r>
      <w:r w:rsidRPr="00170DC4">
        <w:rPr>
          <w:rFonts w:eastAsiaTheme="minorEastAsia"/>
          <w:color w:val="000000" w:themeColor="text1"/>
        </w:rPr>
        <w:t>2. Đề xuất</w:t>
      </w:r>
      <w:r>
        <w:rPr>
          <w:rFonts w:eastAsiaTheme="minorEastAsia"/>
          <w:color w:val="000000" w:themeColor="text1"/>
        </w:rPr>
        <w:t xml:space="preserve"> </w:t>
      </w:r>
      <w:r w:rsidRPr="00170DC4">
        <w:rPr>
          <w:rFonts w:eastAsiaTheme="minorEastAsia"/>
          <w:color w:val="000000" w:themeColor="text1"/>
        </w:rPr>
        <w:t>sửa đổi, bổ sung quy định tại các văn bản pháp luật về quản lý</w:t>
      </w:r>
      <w:r>
        <w:rPr>
          <w:rFonts w:eastAsiaTheme="minorEastAsia"/>
          <w:color w:val="000000" w:themeColor="text1"/>
        </w:rPr>
        <w:t xml:space="preserve"> </w:t>
      </w:r>
      <w:r w:rsidRPr="00170DC4">
        <w:rPr>
          <w:rFonts w:eastAsiaTheme="minorEastAsia"/>
          <w:color w:val="000000" w:themeColor="text1"/>
        </w:rPr>
        <w:t>thuế liên quan đến việc hoàn thuế kiêm bù trừ thu nợ giữa các khoản thuộc cơ</w:t>
      </w:r>
      <w:r>
        <w:rPr>
          <w:rFonts w:eastAsiaTheme="minorEastAsia"/>
          <w:color w:val="000000" w:themeColor="text1"/>
        </w:rPr>
        <w:t xml:space="preserve"> </w:t>
      </w:r>
      <w:r w:rsidRPr="00170DC4">
        <w:rPr>
          <w:rFonts w:eastAsiaTheme="minorEastAsia"/>
          <w:color w:val="000000" w:themeColor="text1"/>
        </w:rPr>
        <w:t>quan Thuế quản lý với các khoản thuộc cơ quan Hả</w:t>
      </w:r>
      <w:r>
        <w:rPr>
          <w:rFonts w:eastAsiaTheme="minorEastAsia"/>
          <w:color w:val="000000" w:themeColor="text1"/>
        </w:rPr>
        <w:t xml:space="preserve">i </w:t>
      </w:r>
      <w:r w:rsidRPr="00170DC4">
        <w:rPr>
          <w:rFonts w:eastAsiaTheme="minorEastAsia"/>
          <w:color w:val="000000" w:themeColor="text1"/>
        </w:rPr>
        <w:t>quan quản lý và ngược lại.</w:t>
      </w:r>
    </w:p>
    <w:p w:rsidR="00170DC4" w:rsidRDefault="00170DC4" w:rsidP="00170DC4">
      <w:pPr>
        <w:spacing w:before="120" w:after="120"/>
        <w:jc w:val="both"/>
        <w:rPr>
          <w:rFonts w:eastAsiaTheme="minorEastAsia"/>
          <w:color w:val="000000" w:themeColor="text1"/>
        </w:rPr>
      </w:pPr>
      <w:r>
        <w:rPr>
          <w:rFonts w:eastAsiaTheme="minorEastAsia"/>
          <w:color w:val="000000" w:themeColor="text1"/>
        </w:rPr>
        <w:tab/>
        <w:t>Kính chuyể</w:t>
      </w:r>
      <w:r w:rsidRPr="00170DC4">
        <w:rPr>
          <w:rFonts w:eastAsiaTheme="minorEastAsia"/>
          <w:color w:val="000000" w:themeColor="text1"/>
        </w:rPr>
        <w:t>n quý Tổng cục tham khảo và báo cáo Bộ</w:t>
      </w:r>
      <w:r>
        <w:rPr>
          <w:rFonts w:eastAsiaTheme="minorEastAsia"/>
          <w:color w:val="000000" w:themeColor="text1"/>
        </w:rPr>
        <w:t>./.</w:t>
      </w:r>
    </w:p>
    <w:tbl>
      <w:tblPr>
        <w:tblW w:w="9464" w:type="dxa"/>
        <w:tblCellMar>
          <w:left w:w="0" w:type="dxa"/>
          <w:right w:w="0" w:type="dxa"/>
        </w:tblCellMar>
        <w:tblLook w:val="00A0"/>
      </w:tblPr>
      <w:tblGrid>
        <w:gridCol w:w="4928"/>
        <w:gridCol w:w="4536"/>
      </w:tblGrid>
      <w:tr w:rsidR="00B82438" w:rsidRPr="0011322F" w:rsidTr="002B6B9C">
        <w:trPr>
          <w:trHeight w:val="2396"/>
        </w:trPr>
        <w:tc>
          <w:tcPr>
            <w:tcW w:w="4928" w:type="dxa"/>
            <w:tcBorders>
              <w:top w:val="nil"/>
              <w:left w:val="nil"/>
              <w:bottom w:val="nil"/>
              <w:right w:val="nil"/>
            </w:tcBorders>
            <w:tcMar>
              <w:top w:w="0" w:type="dxa"/>
              <w:left w:w="108" w:type="dxa"/>
              <w:bottom w:w="0" w:type="dxa"/>
              <w:right w:w="108" w:type="dxa"/>
            </w:tcMar>
          </w:tcPr>
          <w:p w:rsidR="00B82438" w:rsidRPr="0043611B" w:rsidRDefault="00B82438" w:rsidP="00B82438">
            <w:pPr>
              <w:spacing w:after="0"/>
              <w:rPr>
                <w:rFonts w:eastAsia="Calibri"/>
                <w:sz w:val="24"/>
                <w:szCs w:val="24"/>
              </w:rPr>
            </w:pPr>
            <w:r w:rsidRPr="0011322F">
              <w:rPr>
                <w:rFonts w:eastAsia="Calibri"/>
                <w:b/>
                <w:bCs/>
                <w:i/>
                <w:iCs/>
                <w:sz w:val="24"/>
                <w:szCs w:val="24"/>
                <w:lang w:val="vi-VN"/>
              </w:rPr>
              <w:t>Nơi nhận:</w:t>
            </w:r>
            <w:r w:rsidRPr="0011322F">
              <w:rPr>
                <w:rFonts w:eastAsia="Calibri"/>
                <w:b/>
                <w:bCs/>
                <w:i/>
                <w:iCs/>
                <w:sz w:val="24"/>
                <w:szCs w:val="24"/>
                <w:lang w:val="vi-VN"/>
              </w:rPr>
              <w:br/>
            </w:r>
            <w:r w:rsidRPr="0011322F">
              <w:rPr>
                <w:rFonts w:eastAsia="Calibri"/>
                <w:sz w:val="24"/>
                <w:szCs w:val="24"/>
                <w:lang w:val="vi-VN"/>
              </w:rPr>
              <w:t>- Như trên;</w:t>
            </w:r>
            <w:r>
              <w:rPr>
                <w:rFonts w:eastAsia="Calibri"/>
                <w:sz w:val="24"/>
                <w:szCs w:val="24"/>
              </w:rPr>
              <w:br/>
              <w:t xml:space="preserve">Lưu VT, </w:t>
            </w:r>
            <w:r>
              <w:rPr>
                <w:rFonts w:eastAsia="Calibri"/>
                <w:sz w:val="24"/>
                <w:szCs w:val="24"/>
              </w:rPr>
              <w:t>KK.</w:t>
            </w:r>
          </w:p>
          <w:p w:rsidR="00B82438" w:rsidRPr="0011322F" w:rsidRDefault="00B82438" w:rsidP="002B6B9C">
            <w:pPr>
              <w:spacing w:after="0"/>
              <w:rPr>
                <w:rFonts w:eastAsia="Calibri"/>
                <w:sz w:val="24"/>
                <w:szCs w:val="24"/>
              </w:rPr>
            </w:pPr>
          </w:p>
        </w:tc>
        <w:tc>
          <w:tcPr>
            <w:tcW w:w="4536" w:type="dxa"/>
            <w:tcBorders>
              <w:top w:val="nil"/>
              <w:left w:val="nil"/>
              <w:bottom w:val="nil"/>
              <w:right w:val="nil"/>
            </w:tcBorders>
            <w:tcMar>
              <w:top w:w="0" w:type="dxa"/>
              <w:left w:w="108" w:type="dxa"/>
              <w:bottom w:w="0" w:type="dxa"/>
              <w:right w:w="108" w:type="dxa"/>
            </w:tcMar>
          </w:tcPr>
          <w:p w:rsidR="00B82438" w:rsidRDefault="00B82438" w:rsidP="002B6B9C">
            <w:pPr>
              <w:spacing w:after="0"/>
              <w:jc w:val="center"/>
              <w:rPr>
                <w:b/>
                <w:bCs/>
                <w:sz w:val="26"/>
                <w:szCs w:val="26"/>
              </w:rPr>
            </w:pPr>
            <w:r w:rsidRPr="0011322F">
              <w:rPr>
                <w:rFonts w:eastAsia="Calibri"/>
                <w:b/>
                <w:bCs/>
                <w:sz w:val="26"/>
                <w:szCs w:val="26"/>
                <w:lang w:val="vi-VN"/>
              </w:rPr>
              <w:t>T</w:t>
            </w:r>
            <w:r>
              <w:rPr>
                <w:b/>
                <w:bCs/>
                <w:sz w:val="26"/>
                <w:szCs w:val="26"/>
              </w:rPr>
              <w:t>L</w:t>
            </w:r>
            <w:r w:rsidRPr="0011322F">
              <w:rPr>
                <w:rFonts w:eastAsia="Calibri"/>
                <w:b/>
                <w:bCs/>
                <w:sz w:val="26"/>
                <w:szCs w:val="26"/>
                <w:lang w:val="vi-VN"/>
              </w:rPr>
              <w:t>. TỔNG CỤC TRƯỞ</w:t>
            </w:r>
            <w:r>
              <w:rPr>
                <w:rFonts w:eastAsia="Calibri"/>
                <w:b/>
                <w:bCs/>
                <w:sz w:val="26"/>
                <w:szCs w:val="26"/>
                <w:lang w:val="vi-VN"/>
              </w:rPr>
              <w:t>NG</w:t>
            </w:r>
          </w:p>
          <w:p w:rsidR="00B82438" w:rsidRPr="0011322F" w:rsidRDefault="00B82438" w:rsidP="002B6B9C">
            <w:pPr>
              <w:spacing w:after="0"/>
              <w:jc w:val="center"/>
              <w:rPr>
                <w:rFonts w:eastAsia="Calibri"/>
                <w:b/>
                <w:bCs/>
                <w:sz w:val="26"/>
                <w:szCs w:val="26"/>
              </w:rPr>
            </w:pPr>
            <w:r w:rsidRPr="0011322F">
              <w:rPr>
                <w:rFonts w:eastAsia="Calibri"/>
                <w:b/>
                <w:bCs/>
                <w:sz w:val="26"/>
                <w:szCs w:val="26"/>
                <w:lang w:val="vi-VN"/>
              </w:rPr>
              <w:t xml:space="preserve">PHÓ </w:t>
            </w:r>
            <w:r>
              <w:rPr>
                <w:rFonts w:eastAsia="Calibri"/>
                <w:b/>
                <w:bCs/>
                <w:sz w:val="26"/>
                <w:szCs w:val="26"/>
              </w:rPr>
              <w:t>TỔNG CỤC</w:t>
            </w:r>
            <w:r w:rsidRPr="0011322F">
              <w:rPr>
                <w:rFonts w:eastAsia="Calibri"/>
                <w:b/>
                <w:bCs/>
                <w:sz w:val="26"/>
                <w:szCs w:val="26"/>
                <w:lang w:val="vi-VN"/>
              </w:rPr>
              <w:t xml:space="preserve"> TRƯỞNG</w:t>
            </w:r>
            <w:r w:rsidRPr="0011322F">
              <w:rPr>
                <w:rFonts w:eastAsia="Calibri"/>
                <w:b/>
                <w:bCs/>
                <w:sz w:val="26"/>
                <w:szCs w:val="26"/>
                <w:lang w:val="vi-VN"/>
              </w:rPr>
              <w:br/>
            </w:r>
            <w:r w:rsidRPr="0011322F">
              <w:rPr>
                <w:rFonts w:eastAsia="Calibri"/>
                <w:b/>
                <w:bCs/>
                <w:sz w:val="26"/>
                <w:szCs w:val="26"/>
                <w:lang w:val="vi-VN"/>
              </w:rPr>
              <w:br/>
            </w:r>
          </w:p>
          <w:p w:rsidR="00B82438" w:rsidRDefault="00B82438" w:rsidP="002B6B9C">
            <w:pPr>
              <w:spacing w:after="0"/>
              <w:jc w:val="center"/>
              <w:rPr>
                <w:rFonts w:eastAsia="Calibri"/>
                <w:b/>
                <w:bCs/>
                <w:sz w:val="26"/>
                <w:szCs w:val="26"/>
              </w:rPr>
            </w:pPr>
          </w:p>
          <w:p w:rsidR="00B82438" w:rsidRDefault="00B82438" w:rsidP="002B6B9C">
            <w:pPr>
              <w:spacing w:after="0"/>
              <w:jc w:val="center"/>
              <w:rPr>
                <w:rFonts w:eastAsia="Calibri"/>
                <w:b/>
                <w:bCs/>
                <w:sz w:val="26"/>
                <w:szCs w:val="26"/>
              </w:rPr>
            </w:pPr>
          </w:p>
          <w:p w:rsidR="00B82438" w:rsidRDefault="00B82438" w:rsidP="002B6B9C">
            <w:pPr>
              <w:spacing w:after="0"/>
              <w:jc w:val="center"/>
              <w:rPr>
                <w:rFonts w:eastAsia="Calibri"/>
                <w:b/>
                <w:bCs/>
                <w:sz w:val="26"/>
                <w:szCs w:val="26"/>
              </w:rPr>
            </w:pPr>
          </w:p>
          <w:p w:rsidR="00B82438" w:rsidRDefault="00B82438" w:rsidP="002B6B9C">
            <w:pPr>
              <w:spacing w:after="0"/>
              <w:jc w:val="center"/>
              <w:rPr>
                <w:rFonts w:eastAsia="Calibri"/>
                <w:b/>
                <w:bCs/>
                <w:sz w:val="26"/>
                <w:szCs w:val="26"/>
              </w:rPr>
            </w:pPr>
          </w:p>
          <w:p w:rsidR="00B82438" w:rsidRPr="0011322F" w:rsidRDefault="00B82438" w:rsidP="00B82438">
            <w:pPr>
              <w:spacing w:after="0"/>
              <w:jc w:val="center"/>
              <w:rPr>
                <w:rFonts w:eastAsia="Calibri"/>
                <w:sz w:val="26"/>
                <w:szCs w:val="26"/>
              </w:rPr>
            </w:pPr>
            <w:r w:rsidRPr="0011322F">
              <w:rPr>
                <w:rFonts w:eastAsia="Calibri"/>
                <w:b/>
                <w:bCs/>
                <w:sz w:val="26"/>
                <w:szCs w:val="26"/>
                <w:lang w:val="vi-VN"/>
              </w:rPr>
              <w:br/>
            </w:r>
            <w:r w:rsidRPr="0011322F">
              <w:rPr>
                <w:rFonts w:eastAsia="Calibri"/>
                <w:b/>
                <w:bCs/>
                <w:sz w:val="26"/>
                <w:szCs w:val="26"/>
                <w:lang w:val="vi-VN"/>
              </w:rPr>
              <w:br/>
            </w:r>
            <w:r>
              <w:rPr>
                <w:b/>
                <w:bCs/>
                <w:sz w:val="26"/>
                <w:szCs w:val="26"/>
              </w:rPr>
              <w:t>Nguyễn Đại Trí</w:t>
            </w:r>
          </w:p>
        </w:tc>
      </w:tr>
    </w:tbl>
    <w:p w:rsidR="00B82438" w:rsidRDefault="00B82438" w:rsidP="00170DC4">
      <w:pPr>
        <w:spacing w:before="120" w:after="120"/>
        <w:jc w:val="both"/>
      </w:pPr>
    </w:p>
    <w:sectPr w:rsidR="00B82438" w:rsidSect="0018260A">
      <w:pgSz w:w="11909" w:h="16834"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C9737E"/>
    <w:rsid w:val="00170DC4"/>
    <w:rsid w:val="0018260A"/>
    <w:rsid w:val="00A44862"/>
    <w:rsid w:val="00B82438"/>
    <w:rsid w:val="00C9737E"/>
    <w:rsid w:val="00DC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dc:description/>
  <cp:lastModifiedBy>Tong Cuc Thue</cp:lastModifiedBy>
  <cp:revision>3</cp:revision>
  <dcterms:created xsi:type="dcterms:W3CDTF">2018-10-26T03:33:00Z</dcterms:created>
  <dcterms:modified xsi:type="dcterms:W3CDTF">2018-10-26T09:16:00Z</dcterms:modified>
</cp:coreProperties>
</file>